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F82245" w14:textId="5DC9CE49" w:rsidR="00361226" w:rsidRDefault="004974DB">
      <w:pPr>
        <w:pStyle w:val="Default"/>
        <w:rPr>
          <w:sz w:val="20"/>
          <w:szCs w:val="20"/>
        </w:rPr>
      </w:pPr>
      <w:r>
        <w:rPr>
          <w:noProof/>
          <w:lang w:eastAsia="en-US" w:bidi="ar-SA"/>
        </w:rPr>
        <w:drawing>
          <wp:anchor distT="0" distB="0" distL="0" distR="0" simplePos="0" relativeHeight="251657216" behindDoc="0" locked="0" layoutInCell="1" allowOverlap="1" wp14:anchorId="7F1859A7" wp14:editId="5EE6418D">
            <wp:simplePos x="0" y="0"/>
            <wp:positionH relativeFrom="page">
              <wp:posOffset>6482080</wp:posOffset>
            </wp:positionH>
            <wp:positionV relativeFrom="page">
              <wp:posOffset>489585</wp:posOffset>
            </wp:positionV>
            <wp:extent cx="756285" cy="756285"/>
            <wp:effectExtent l="0" t="0" r="0" b="0"/>
            <wp:wrapNone/>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E47672A" w14:textId="21FBAC80" w:rsidR="00361226" w:rsidRDefault="00FE4B4B">
      <w:pPr>
        <w:pStyle w:val="Default"/>
        <w:rPr>
          <w:sz w:val="20"/>
          <w:szCs w:val="20"/>
        </w:rPr>
      </w:pPr>
      <w:r>
        <w:rPr>
          <w:noProof/>
          <w:lang w:eastAsia="en-US" w:bidi="ar-SA"/>
        </w:rPr>
        <w:drawing>
          <wp:anchor distT="0" distB="0" distL="0" distR="0" simplePos="0" relativeHeight="251656192" behindDoc="1" locked="0" layoutInCell="1" allowOverlap="1" wp14:anchorId="4553E72D" wp14:editId="2D770384">
            <wp:simplePos x="0" y="0"/>
            <wp:positionH relativeFrom="page">
              <wp:posOffset>384387</wp:posOffset>
            </wp:positionH>
            <wp:positionV relativeFrom="page">
              <wp:posOffset>833544</wp:posOffset>
            </wp:positionV>
            <wp:extent cx="6857365" cy="7286625"/>
            <wp:effectExtent l="0" t="0" r="0" b="0"/>
            <wp:wrapNone/>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7365" cy="7286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F72972F" w14:textId="77777777" w:rsidR="00361226" w:rsidRDefault="00361226">
      <w:pPr>
        <w:pStyle w:val="Contactinfo"/>
      </w:pPr>
      <w:r>
        <w:t>Customer Name, Street Address, City, State, Zip code</w:t>
      </w:r>
    </w:p>
    <w:p w14:paraId="2A1EC16A" w14:textId="02AD973F" w:rsidR="00361226" w:rsidRDefault="00361226">
      <w:pPr>
        <w:pStyle w:val="Contactinfo"/>
      </w:pPr>
      <w:r>
        <w:t>Phone number, Alt. phone number, Fax number, e-mail address, web site</w:t>
      </w:r>
    </w:p>
    <w:p w14:paraId="588FEAAE" w14:textId="77777777" w:rsidR="00DE0C95" w:rsidRDefault="00DE0C95">
      <w:pPr>
        <w:pStyle w:val="Contactinfo"/>
      </w:pPr>
    </w:p>
    <w:p w14:paraId="78EEC317" w14:textId="77777777" w:rsidR="00361226" w:rsidRDefault="00361226">
      <w:pPr>
        <w:pStyle w:val="BasicParagraph"/>
        <w:rPr>
          <w:rFonts w:ascii="ArialMT" w:eastAsia="ArialMT" w:hAnsi="ArialMT" w:cs="Times New Roman"/>
          <w:sz w:val="18"/>
          <w:szCs w:val="18"/>
        </w:rPr>
      </w:pPr>
    </w:p>
    <w:p w14:paraId="7ABF4369" w14:textId="77777777" w:rsidR="005B5FF9" w:rsidRPr="00095A33" w:rsidRDefault="005B5FF9" w:rsidP="005B5FF9">
      <w:pPr>
        <w:pStyle w:val="MainTitle"/>
      </w:pPr>
      <w:r w:rsidRPr="00095A33">
        <w:t>Tick</w:t>
      </w:r>
      <w:r w:rsidR="00051569">
        <w:t xml:space="preserve"> Bite</w:t>
      </w:r>
      <w:r w:rsidRPr="00095A33">
        <w:t xml:space="preserve"> Paralysis</w:t>
      </w:r>
    </w:p>
    <w:p w14:paraId="168A0F4E" w14:textId="77777777" w:rsidR="00361226" w:rsidRDefault="004974DB">
      <w:pPr>
        <w:pStyle w:val="MainHeading"/>
        <w:rPr>
          <w:rFonts w:eastAsia="ArialMT" w:cs="Times New Roman"/>
        </w:rPr>
      </w:pPr>
      <w:r w:rsidRPr="00DD3973">
        <w:rPr>
          <w:noProof/>
          <w:sz w:val="90"/>
          <w:szCs w:val="90"/>
          <w:lang w:eastAsia="en-US" w:bidi="ar-SA"/>
        </w:rPr>
        <w:drawing>
          <wp:anchor distT="0" distB="0" distL="100330" distR="0" simplePos="0" relativeHeight="251658240" behindDoc="0" locked="0" layoutInCell="1" allowOverlap="1" wp14:anchorId="12DA3DDD" wp14:editId="5983FEBB">
            <wp:simplePos x="0" y="0"/>
            <wp:positionH relativeFrom="page">
              <wp:posOffset>4552315</wp:posOffset>
            </wp:positionH>
            <wp:positionV relativeFrom="page">
              <wp:posOffset>2428240</wp:posOffset>
            </wp:positionV>
            <wp:extent cx="2584450" cy="3206115"/>
            <wp:effectExtent l="12700" t="12700" r="6350" b="0"/>
            <wp:wrapSquare wrapText="bothSides"/>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4450" cy="3206115"/>
                    </a:xfrm>
                    <a:prstGeom prst="rect">
                      <a:avLst/>
                    </a:prstGeom>
                    <a:solidFill>
                      <a:srgbClr val="FFFFFF"/>
                    </a:solid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361226" w:rsidRPr="001F5603">
        <w:t>Basic</w:t>
      </w:r>
      <w:r w:rsidR="00E41721">
        <w:t>s</w:t>
      </w:r>
    </w:p>
    <w:p w14:paraId="4979D610" w14:textId="77777777" w:rsidR="00361226" w:rsidRDefault="00361226">
      <w:pPr>
        <w:pStyle w:val="Subhead"/>
        <w:rPr>
          <w:rFonts w:eastAsia="ArialMT"/>
        </w:rPr>
      </w:pPr>
      <w:r>
        <w:rPr>
          <w:rFonts w:eastAsia="ArialMT"/>
        </w:rPr>
        <w:t>OVERVIEW</w:t>
      </w:r>
    </w:p>
    <w:p w14:paraId="6215FC87" w14:textId="5932A3FA" w:rsidR="005B5FF9" w:rsidRPr="00095A33" w:rsidRDefault="00DE0C95" w:rsidP="005B5FF9">
      <w:pPr>
        <w:pStyle w:val="Bulletedtext"/>
      </w:pPr>
      <w:r>
        <w:t>“</w:t>
      </w:r>
      <w:r w:rsidR="005B5FF9" w:rsidRPr="00095A33">
        <w:t>Paresis</w:t>
      </w:r>
      <w:r>
        <w:t>”</w:t>
      </w:r>
      <w:r w:rsidR="005B5FF9">
        <w:t>—</w:t>
      </w:r>
      <w:r w:rsidR="005B5FF9" w:rsidRPr="00095A33">
        <w:t>weakness of voluntary movement</w:t>
      </w:r>
    </w:p>
    <w:p w14:paraId="0085A349" w14:textId="2A3354A5" w:rsidR="005B5FF9" w:rsidRPr="00095A33" w:rsidRDefault="00DE0C95" w:rsidP="005B5FF9">
      <w:pPr>
        <w:pStyle w:val="Bulletedtext"/>
      </w:pPr>
      <w:r>
        <w:t>“</w:t>
      </w:r>
      <w:r w:rsidR="005B5FF9" w:rsidRPr="00095A33">
        <w:t>Paralysis</w:t>
      </w:r>
      <w:r>
        <w:t>”</w:t>
      </w:r>
      <w:r w:rsidR="005B5FF9">
        <w:t>—</w:t>
      </w:r>
      <w:r w:rsidR="005B5FF9" w:rsidRPr="00095A33">
        <w:t>lack of voluntary movement</w:t>
      </w:r>
    </w:p>
    <w:p w14:paraId="21D5CBA3" w14:textId="7F499367" w:rsidR="005B5FF9" w:rsidRPr="00095A33" w:rsidRDefault="00DE0C95" w:rsidP="005B5FF9">
      <w:pPr>
        <w:pStyle w:val="Bulletedtext"/>
      </w:pPr>
      <w:r>
        <w:t>“</w:t>
      </w:r>
      <w:r w:rsidR="005B5FF9" w:rsidRPr="00095A33">
        <w:t>Tetraparesis</w:t>
      </w:r>
      <w:r>
        <w:t>”</w:t>
      </w:r>
      <w:r w:rsidR="005B5FF9">
        <w:t>—</w:t>
      </w:r>
      <w:r w:rsidR="005B5FF9" w:rsidRPr="00095A33">
        <w:t>weakness of voluntary movements in all legs</w:t>
      </w:r>
    </w:p>
    <w:p w14:paraId="21F1F4D3" w14:textId="635FD329" w:rsidR="005B5FF9" w:rsidRPr="00095A33" w:rsidRDefault="00DE0C95" w:rsidP="005B5FF9">
      <w:pPr>
        <w:pStyle w:val="Bulletedtext"/>
      </w:pPr>
      <w:r>
        <w:t>“</w:t>
      </w:r>
      <w:r w:rsidR="005B5FF9" w:rsidRPr="00095A33">
        <w:t>Tetraplegia</w:t>
      </w:r>
      <w:r>
        <w:t>”</w:t>
      </w:r>
      <w:r w:rsidR="005B5FF9">
        <w:t>—</w:t>
      </w:r>
      <w:r w:rsidR="005B5FF9" w:rsidRPr="00095A33">
        <w:t>absence of all voluntary movement in the legs</w:t>
      </w:r>
    </w:p>
    <w:p w14:paraId="5A4A0201" w14:textId="77777777" w:rsidR="005B5FF9" w:rsidRPr="00095A33" w:rsidRDefault="005B5FF9" w:rsidP="005B5FF9">
      <w:pPr>
        <w:pStyle w:val="Bulletedtext"/>
      </w:pPr>
      <w:r>
        <w:t>“</w:t>
      </w:r>
      <w:r w:rsidRPr="00095A33">
        <w:t>Lower motor neuron paralysis</w:t>
      </w:r>
      <w:r>
        <w:t>”</w:t>
      </w:r>
      <w:r w:rsidRPr="00095A33">
        <w:t xml:space="preserve"> is the loss of voluntary movement caused by disease of the nerves that connect the spinal cord and muscles</w:t>
      </w:r>
    </w:p>
    <w:p w14:paraId="643BBD29" w14:textId="77777777" w:rsidR="005B5FF9" w:rsidRPr="00095A33" w:rsidRDefault="005B5FF9" w:rsidP="005B5FF9">
      <w:pPr>
        <w:pStyle w:val="Bulletedtext"/>
      </w:pPr>
      <w:r>
        <w:t>“</w:t>
      </w:r>
      <w:r w:rsidRPr="00095A33">
        <w:t>Tick paralysis</w:t>
      </w:r>
      <w:r>
        <w:t>”</w:t>
      </w:r>
      <w:r w:rsidRPr="00095A33">
        <w:t xml:space="preserve"> is a lower motor neuron weakness of all legs (tetraparesis) to paralysis of all legs (tetraplegia), characterized by relaxed muscles or muscles without tone (known as </w:t>
      </w:r>
      <w:r>
        <w:t>“</w:t>
      </w:r>
      <w:r w:rsidRPr="00095A33">
        <w:t>flaccid paralysis</w:t>
      </w:r>
      <w:r>
        <w:t>”</w:t>
      </w:r>
      <w:r w:rsidRPr="00095A33">
        <w:t>); caused by nerve toxins found in the saliva of females of certain tick species</w:t>
      </w:r>
    </w:p>
    <w:p w14:paraId="62D4B97D" w14:textId="5664FF6C" w:rsidR="005B5FF9" w:rsidRPr="00095A33" w:rsidRDefault="005B5FF9" w:rsidP="005B5FF9">
      <w:pPr>
        <w:pStyle w:val="Bulletedtext"/>
        <w:rPr>
          <w:rFonts w:cs="Times New Roman"/>
        </w:rPr>
      </w:pPr>
      <w:r w:rsidRPr="00095A33">
        <w:t xml:space="preserve">Also known as </w:t>
      </w:r>
      <w:r>
        <w:t>“</w:t>
      </w:r>
      <w:r w:rsidRPr="00095A33">
        <w:t>tick</w:t>
      </w:r>
      <w:r w:rsidR="00DE0C95">
        <w:t xml:space="preserve"> </w:t>
      </w:r>
      <w:r w:rsidRPr="00095A33">
        <w:t>bite paralysis</w:t>
      </w:r>
      <w:r>
        <w:t>”</w:t>
      </w:r>
    </w:p>
    <w:p w14:paraId="15DCEA52" w14:textId="77777777" w:rsidR="005B5FF9" w:rsidRPr="00095A33" w:rsidRDefault="005B5FF9" w:rsidP="005B5FF9">
      <w:pPr>
        <w:pStyle w:val="Subhead"/>
      </w:pPr>
      <w:r w:rsidRPr="00095A33">
        <w:t>Genetics</w:t>
      </w:r>
    </w:p>
    <w:p w14:paraId="57161392" w14:textId="77777777" w:rsidR="005B5FF9" w:rsidRPr="00095A33" w:rsidRDefault="005B5FF9" w:rsidP="005B5FF9">
      <w:pPr>
        <w:pStyle w:val="Bulletedtext"/>
      </w:pPr>
      <w:r w:rsidRPr="00095A33">
        <w:t>No genetic basis</w:t>
      </w:r>
    </w:p>
    <w:p w14:paraId="04F9A255" w14:textId="77777777" w:rsidR="005B5FF9" w:rsidRPr="00095A33" w:rsidRDefault="005B5FF9" w:rsidP="005B5FF9">
      <w:pPr>
        <w:pStyle w:val="Subhead"/>
      </w:pPr>
      <w:r w:rsidRPr="00095A33">
        <w:t>Signalment/Description of Pet</w:t>
      </w:r>
    </w:p>
    <w:p w14:paraId="77D545A2" w14:textId="77777777" w:rsidR="005B5FF9" w:rsidRPr="00095A33" w:rsidRDefault="005B5FF9" w:rsidP="005B5FF9">
      <w:pPr>
        <w:pStyle w:val="Subhead2"/>
      </w:pPr>
      <w:r w:rsidRPr="00095A33">
        <w:t>Species</w:t>
      </w:r>
    </w:p>
    <w:p w14:paraId="4BDD3EE1" w14:textId="77777777" w:rsidR="005B5FF9" w:rsidRPr="00095A33" w:rsidRDefault="005B5FF9" w:rsidP="005B5FF9">
      <w:pPr>
        <w:pStyle w:val="Bulletedtext"/>
      </w:pPr>
      <w:r w:rsidRPr="00095A33">
        <w:t>United States</w:t>
      </w:r>
      <w:r>
        <w:t>—</w:t>
      </w:r>
      <w:r w:rsidRPr="00095A33">
        <w:t>dogs; cats appear to be resistant</w:t>
      </w:r>
      <w:r w:rsidR="00607DD8">
        <w:t>; lower incidence (most summer)</w:t>
      </w:r>
    </w:p>
    <w:p w14:paraId="01C20E4A" w14:textId="6B671C3A" w:rsidR="005B5FF9" w:rsidRPr="00095A33" w:rsidRDefault="005B5FF9" w:rsidP="005B5FF9">
      <w:pPr>
        <w:pStyle w:val="Bulletedtext"/>
      </w:pPr>
      <w:r w:rsidRPr="00095A33">
        <w:t>Australia</w:t>
      </w:r>
      <w:r>
        <w:t>—</w:t>
      </w:r>
      <w:r w:rsidRPr="00095A33">
        <w:t>dogs and cats</w:t>
      </w:r>
      <w:r w:rsidR="00607DD8">
        <w:t>; higher incidence (most September</w:t>
      </w:r>
      <w:r w:rsidR="00DE0C95">
        <w:t>–</w:t>
      </w:r>
      <w:r w:rsidR="00607DD8">
        <w:t>November)</w:t>
      </w:r>
    </w:p>
    <w:p w14:paraId="0CAAEA7A" w14:textId="77777777" w:rsidR="005B5FF9" w:rsidRPr="00095A33" w:rsidRDefault="005B5FF9" w:rsidP="005B5FF9">
      <w:pPr>
        <w:pStyle w:val="Subhead"/>
      </w:pPr>
      <w:r w:rsidRPr="00095A33">
        <w:t>Signs/Observed Changes in the Pet</w:t>
      </w:r>
    </w:p>
    <w:p w14:paraId="13F209A4" w14:textId="77777777" w:rsidR="005B5FF9" w:rsidRPr="00095A33" w:rsidRDefault="005B5FF9" w:rsidP="005B5FF9">
      <w:pPr>
        <w:pStyle w:val="Bulletedtext"/>
      </w:pPr>
      <w:r w:rsidRPr="00095A33">
        <w:t>Pet walked in a wooded or open area approximately 1 week before onset of signs</w:t>
      </w:r>
    </w:p>
    <w:p w14:paraId="47688F57" w14:textId="6DB2C631" w:rsidR="005B5FF9" w:rsidRPr="00095A33" w:rsidRDefault="005B5FF9" w:rsidP="005B5FF9">
      <w:pPr>
        <w:pStyle w:val="Bulletedtext"/>
      </w:pPr>
      <w:r w:rsidRPr="00095A33">
        <w:t>Onset</w:t>
      </w:r>
      <w:r>
        <w:t>—</w:t>
      </w:r>
      <w:r w:rsidRPr="00095A33">
        <w:t>gradual; starts with unsteadiness and weakness in the rear legs</w:t>
      </w:r>
      <w:r w:rsidR="00607DD8">
        <w:t>, progresses to front limbs in 12</w:t>
      </w:r>
      <w:r w:rsidR="00DE0C95">
        <w:t>–</w:t>
      </w:r>
      <w:r w:rsidR="00607DD8">
        <w:t>72 hours</w:t>
      </w:r>
    </w:p>
    <w:p w14:paraId="114FE519" w14:textId="77777777" w:rsidR="005B5FF9" w:rsidRPr="00095A33" w:rsidRDefault="005B5FF9" w:rsidP="005B5FF9">
      <w:pPr>
        <w:pStyle w:val="Subhead2"/>
      </w:pPr>
      <w:r w:rsidRPr="00095A33">
        <w:t>Disease Caused by North American Ticks</w:t>
      </w:r>
    </w:p>
    <w:p w14:paraId="41149BD7" w14:textId="7E6A4001" w:rsidR="005B5FF9" w:rsidRPr="00095A33" w:rsidRDefault="005B5FF9" w:rsidP="005B5FF9">
      <w:pPr>
        <w:pStyle w:val="Bulletedtext"/>
      </w:pPr>
      <w:r w:rsidRPr="00095A33">
        <w:t>Once nervous system signs appear, rapidly ascending (that is, moving from rear legs to front legs and then head), generalized lower motor neuron weakness of all legs (</w:t>
      </w:r>
      <w:proofErr w:type="spellStart"/>
      <w:r w:rsidRPr="00095A33">
        <w:t>tetraparesis</w:t>
      </w:r>
      <w:proofErr w:type="spellEnd"/>
      <w:r w:rsidRPr="00095A33">
        <w:t>) to paralysis of all legs (tetraplegia)</w:t>
      </w:r>
    </w:p>
    <w:p w14:paraId="4EAB63F1" w14:textId="77777777" w:rsidR="005B5FF9" w:rsidRPr="00095A33" w:rsidRDefault="005B5FF9" w:rsidP="005B5FF9">
      <w:pPr>
        <w:pStyle w:val="Bulletedtext"/>
      </w:pPr>
      <w:r w:rsidRPr="00095A33">
        <w:t>Pet becomes extremely weak to recumbent in 1</w:t>
      </w:r>
      <w:r>
        <w:t>–</w:t>
      </w:r>
      <w:r w:rsidRPr="00095A33">
        <w:t xml:space="preserve">3 days, with decreased reflexes (known as </w:t>
      </w:r>
      <w:r>
        <w:t>“</w:t>
      </w:r>
      <w:r w:rsidRPr="00095A33">
        <w:t>hyporeflexia</w:t>
      </w:r>
      <w:r>
        <w:t>”</w:t>
      </w:r>
      <w:r w:rsidRPr="00095A33">
        <w:t xml:space="preserve">) to lack of reflexes (known as </w:t>
      </w:r>
      <w:r>
        <w:t>“</w:t>
      </w:r>
      <w:r w:rsidRPr="00095A33">
        <w:t>areflexia</w:t>
      </w:r>
      <w:r>
        <w:t>”</w:t>
      </w:r>
      <w:r w:rsidRPr="00095A33">
        <w:t xml:space="preserve">) and decreased muscle tone (known as </w:t>
      </w:r>
      <w:r>
        <w:t>“</w:t>
      </w:r>
      <w:r w:rsidRPr="00095A33">
        <w:t>hypotonia</w:t>
      </w:r>
      <w:r>
        <w:t>”</w:t>
      </w:r>
      <w:r w:rsidRPr="00095A33">
        <w:t xml:space="preserve">) to lack of muscle tone (known as </w:t>
      </w:r>
      <w:r>
        <w:t>“</w:t>
      </w:r>
      <w:r w:rsidRPr="00095A33">
        <w:t>atonia</w:t>
      </w:r>
      <w:r>
        <w:t>”</w:t>
      </w:r>
      <w:r w:rsidRPr="00095A33">
        <w:t>)</w:t>
      </w:r>
      <w:r w:rsidR="00652942">
        <w:t>; dilated esophagus (megaesophagus) uncommon</w:t>
      </w:r>
    </w:p>
    <w:p w14:paraId="2025F06A" w14:textId="77777777" w:rsidR="005B5FF9" w:rsidRPr="00095A33" w:rsidRDefault="005B5FF9" w:rsidP="005B5FF9">
      <w:pPr>
        <w:pStyle w:val="Bulletedtext"/>
      </w:pPr>
      <w:r w:rsidRPr="00095A33">
        <w:t>Pain sensation is preserved</w:t>
      </w:r>
    </w:p>
    <w:p w14:paraId="6A84E082" w14:textId="77777777" w:rsidR="005B5FF9" w:rsidRPr="00095A33" w:rsidRDefault="005B5FF9" w:rsidP="002556B4">
      <w:pPr>
        <w:pStyle w:val="Bulletedtext"/>
        <w:widowControl/>
        <w:ind w:right="289" w:hanging="159"/>
      </w:pPr>
      <w:r w:rsidRPr="00095A33">
        <w:lastRenderedPageBreak/>
        <w:t>Cranial nerve dysfunction</w:t>
      </w:r>
      <w:r>
        <w:t>—</w:t>
      </w:r>
      <w:r w:rsidRPr="00095A33">
        <w:t xml:space="preserve">not a prominent feature; may note facial weakness and reduced jaw tone; sometimes a change in voice (known as </w:t>
      </w:r>
      <w:r>
        <w:t>“</w:t>
      </w:r>
      <w:r w:rsidRPr="00095A33">
        <w:t>dysphonia</w:t>
      </w:r>
      <w:r>
        <w:t>”</w:t>
      </w:r>
      <w:r w:rsidRPr="00095A33">
        <w:t xml:space="preserve">) and difficulty swallowing (known as </w:t>
      </w:r>
      <w:r>
        <w:t>“</w:t>
      </w:r>
      <w:r w:rsidRPr="00095A33">
        <w:t>dysphagia</w:t>
      </w:r>
      <w:r>
        <w:t>”</w:t>
      </w:r>
      <w:r w:rsidRPr="00095A33">
        <w:t xml:space="preserve">) may be seen early in the course of disease; the </w:t>
      </w:r>
      <w:r>
        <w:t>“</w:t>
      </w:r>
      <w:r w:rsidRPr="00095A33">
        <w:t>cranial nerves</w:t>
      </w:r>
      <w:r>
        <w:t>”</w:t>
      </w:r>
      <w:r w:rsidRPr="00095A33">
        <w:t xml:space="preserve"> are nerves that originate in the brain and go to various structures of the head (such as the eye, face, and tongue)</w:t>
      </w:r>
    </w:p>
    <w:p w14:paraId="06A5B871" w14:textId="7A349B28" w:rsidR="005B5FF9" w:rsidRPr="00095A33" w:rsidRDefault="005B5FF9" w:rsidP="005B5FF9">
      <w:pPr>
        <w:pStyle w:val="Bulletedtext"/>
      </w:pPr>
      <w:r w:rsidRPr="00095A33">
        <w:t xml:space="preserve">Paralysis of breathing muscles (known as </w:t>
      </w:r>
      <w:r>
        <w:t>“</w:t>
      </w:r>
      <w:r w:rsidRPr="00095A33">
        <w:t>respiratory paralysis</w:t>
      </w:r>
      <w:r>
        <w:t>”</w:t>
      </w:r>
      <w:r w:rsidRPr="00095A33">
        <w:t>)</w:t>
      </w:r>
      <w:r w:rsidR="00DE0C95">
        <w:t>—</w:t>
      </w:r>
      <w:r w:rsidRPr="00095A33">
        <w:t>uncommon in cases in the United States; may occur i</w:t>
      </w:r>
      <w:r w:rsidR="00652942">
        <w:t>f ticks not removed</w:t>
      </w:r>
    </w:p>
    <w:p w14:paraId="1EA17908" w14:textId="77777777" w:rsidR="005B5FF9" w:rsidRPr="00095A33" w:rsidRDefault="005B5FF9" w:rsidP="005B5FF9">
      <w:pPr>
        <w:pStyle w:val="Bulletedtext"/>
      </w:pPr>
      <w:r w:rsidRPr="00095A33">
        <w:t>Urination and defecation</w:t>
      </w:r>
      <w:r w:rsidR="00652942">
        <w:t>, heart and blood vessels</w:t>
      </w:r>
      <w:r w:rsidRPr="00095A33">
        <w:t xml:space="preserve"> usually are normal</w:t>
      </w:r>
    </w:p>
    <w:p w14:paraId="0A4C260F" w14:textId="4F314916" w:rsidR="00652942" w:rsidRPr="00095A33" w:rsidRDefault="005B5FF9">
      <w:pPr>
        <w:pStyle w:val="Subhead2"/>
      </w:pPr>
      <w:r w:rsidRPr="00095A33">
        <w:t>Australia</w:t>
      </w:r>
      <w:r w:rsidR="00DE0C95">
        <w:t xml:space="preserve"> </w:t>
      </w:r>
      <w:r w:rsidR="00981788">
        <w:t>(</w:t>
      </w:r>
      <w:r w:rsidR="00652942" w:rsidRPr="00095A33">
        <w:t xml:space="preserve">Disease Caused by an </w:t>
      </w:r>
      <w:r w:rsidR="00652942" w:rsidRPr="0065330B">
        <w:rPr>
          <w:i/>
        </w:rPr>
        <w:t>Ixodes</w:t>
      </w:r>
      <w:r w:rsidR="00652942" w:rsidRPr="00095A33">
        <w:t xml:space="preserve"> Tick</w:t>
      </w:r>
      <w:r w:rsidR="00981788">
        <w:t>)</w:t>
      </w:r>
    </w:p>
    <w:p w14:paraId="265CD42F" w14:textId="77777777" w:rsidR="00652942" w:rsidRPr="00095A33" w:rsidRDefault="00652942" w:rsidP="00652942">
      <w:pPr>
        <w:pStyle w:val="Bulletedtext"/>
      </w:pPr>
      <w:r w:rsidRPr="00095A33">
        <w:t>Nervous system signs</w:t>
      </w:r>
      <w:r>
        <w:t>—</w:t>
      </w:r>
      <w:r w:rsidRPr="00095A33">
        <w:t>much more severe and rapidly progressive; ascending motor weakness (that is, moving from rear legs to front legs and then head) can progress to paralysis of all legs (tetraplegia) within a few hours</w:t>
      </w:r>
    </w:p>
    <w:p w14:paraId="5244D488" w14:textId="60279C22" w:rsidR="00652942" w:rsidRPr="00095A33" w:rsidRDefault="00652942" w:rsidP="00652942">
      <w:pPr>
        <w:pStyle w:val="Bulletedtext"/>
      </w:pPr>
      <w:r w:rsidRPr="00095A33">
        <w:t xml:space="preserve">Excessive salivation, </w:t>
      </w:r>
      <w:r w:rsidR="00981788">
        <w:t xml:space="preserve">change in voice (dysphonia), </w:t>
      </w:r>
      <w:r w:rsidRPr="00095A33">
        <w:t xml:space="preserve">enlarged esophagus (the tube running from the throat to the stomach; condition known as </w:t>
      </w:r>
      <w:r>
        <w:t>“</w:t>
      </w:r>
      <w:r w:rsidRPr="00095A33">
        <w:t>megaesophagus</w:t>
      </w:r>
      <w:r>
        <w:t>”</w:t>
      </w:r>
      <w:r w:rsidRPr="00095A33">
        <w:t>), and vomiting (forceful ejection of stomach contents up through the esophagus and mouth) or regurgitation (passive, backward movement or return of food or other contents from the esophagus into the throat or mouth) are characteristic</w:t>
      </w:r>
    </w:p>
    <w:p w14:paraId="359A4DDB" w14:textId="77777777" w:rsidR="00652942" w:rsidRPr="00095A33" w:rsidRDefault="00652942" w:rsidP="00652942">
      <w:pPr>
        <w:pStyle w:val="Bulletedtext"/>
      </w:pPr>
      <w:r w:rsidRPr="00095A33">
        <w:t>Dilated and poorly responsive pupils</w:t>
      </w:r>
      <w:r w:rsidR="00981788">
        <w:t xml:space="preserve"> (common in cats)</w:t>
      </w:r>
    </w:p>
    <w:p w14:paraId="7BA9AC56" w14:textId="77777777" w:rsidR="00652942" w:rsidRPr="00095A33" w:rsidRDefault="00652942" w:rsidP="00652942">
      <w:pPr>
        <w:pStyle w:val="Bulletedtext"/>
      </w:pPr>
      <w:r w:rsidRPr="00095A33">
        <w:t xml:space="preserve">High blood pressure (known as </w:t>
      </w:r>
      <w:r>
        <w:t>“</w:t>
      </w:r>
      <w:r w:rsidRPr="00095A33">
        <w:t>hypertension</w:t>
      </w:r>
      <w:r>
        <w:t>”</w:t>
      </w:r>
      <w:r w:rsidRPr="00095A33">
        <w:t xml:space="preserve">); rapid, irregular heartbeats (known as </w:t>
      </w:r>
      <w:r>
        <w:t>“</w:t>
      </w:r>
      <w:r w:rsidRPr="00095A33">
        <w:t>tachyarrhythmias</w:t>
      </w:r>
      <w:r>
        <w:t>”</w:t>
      </w:r>
      <w:r w:rsidRPr="00095A33">
        <w:t>)</w:t>
      </w:r>
    </w:p>
    <w:p w14:paraId="37456105" w14:textId="77777777" w:rsidR="00652942" w:rsidRPr="00095A33" w:rsidRDefault="00652942" w:rsidP="00652942">
      <w:pPr>
        <w:pStyle w:val="Bulletedtext"/>
      </w:pPr>
      <w:r w:rsidRPr="00095A33">
        <w:t xml:space="preserve">Fluid buildup in the lungs (known as </w:t>
      </w:r>
      <w:r>
        <w:t>“</w:t>
      </w:r>
      <w:r w:rsidRPr="00095A33">
        <w:t>pulmonary edema</w:t>
      </w:r>
      <w:r>
        <w:t>”</w:t>
      </w:r>
      <w:r w:rsidRPr="00095A33">
        <w:t>)</w:t>
      </w:r>
    </w:p>
    <w:p w14:paraId="7BA7C75E" w14:textId="6A9D9D97" w:rsidR="00981788" w:rsidRDefault="00652942" w:rsidP="00652942">
      <w:pPr>
        <w:pStyle w:val="Bulletedtext"/>
      </w:pPr>
      <w:r w:rsidRPr="00095A33">
        <w:t>Paralysis of breathing muscles</w:t>
      </w:r>
      <w:r>
        <w:t>—</w:t>
      </w:r>
      <w:r w:rsidRPr="00095A33">
        <w:t xml:space="preserve">much more common than seen with North American tick paralysis; dogs and cats progress to difficulty breathing (known as </w:t>
      </w:r>
      <w:r>
        <w:t>“</w:t>
      </w:r>
      <w:r w:rsidRPr="00095A33">
        <w:t>dyspnea</w:t>
      </w:r>
      <w:r>
        <w:t>”</w:t>
      </w:r>
      <w:r w:rsidRPr="00095A33">
        <w:t xml:space="preserve">); bluish discoloration of the skin and moist tissues (known as </w:t>
      </w:r>
      <w:r>
        <w:t>“</w:t>
      </w:r>
      <w:r w:rsidRPr="00095A33">
        <w:t>mucous membranes</w:t>
      </w:r>
      <w:r>
        <w:t>”</w:t>
      </w:r>
      <w:r w:rsidRPr="00095A33">
        <w:t xml:space="preserve">) of the body caused by inadequate oxygen levels in the red blood cells (known as </w:t>
      </w:r>
      <w:r>
        <w:t>“</w:t>
      </w:r>
      <w:r w:rsidRPr="00095A33">
        <w:t>cyanosis</w:t>
      </w:r>
      <w:r>
        <w:t>”</w:t>
      </w:r>
      <w:r w:rsidRPr="00095A33">
        <w:t>); and respiratory paralysis within 1</w:t>
      </w:r>
      <w:r>
        <w:t>–</w:t>
      </w:r>
      <w:r w:rsidRPr="00095A33">
        <w:t>2 days, if not treated</w:t>
      </w:r>
    </w:p>
    <w:p w14:paraId="6E985715" w14:textId="7B5106FC" w:rsidR="005B5FF9" w:rsidRPr="00095A33" w:rsidRDefault="005B5FF9" w:rsidP="00652942">
      <w:pPr>
        <w:pStyle w:val="Bulletedtext"/>
      </w:pPr>
      <w:r w:rsidRPr="0065330B">
        <w:rPr>
          <w:i/>
        </w:rPr>
        <w:t>Ixodes holocyclus</w:t>
      </w:r>
      <w:r>
        <w:t>—</w:t>
      </w:r>
      <w:r w:rsidRPr="00095A33">
        <w:t>Australia</w:t>
      </w:r>
      <w:r w:rsidR="00DE0C95">
        <w:t>n</w:t>
      </w:r>
      <w:r w:rsidRPr="00095A33">
        <w:t xml:space="preserve"> paralysis tick; secretes a far more potent nerve toxin than that of the North American species</w:t>
      </w:r>
    </w:p>
    <w:p w14:paraId="6551BD3C" w14:textId="77777777" w:rsidR="00652942" w:rsidRPr="00095A33" w:rsidRDefault="00652942" w:rsidP="00652942">
      <w:pPr>
        <w:pStyle w:val="Subhead"/>
      </w:pPr>
      <w:r w:rsidRPr="00095A33">
        <w:t>Causes</w:t>
      </w:r>
    </w:p>
    <w:p w14:paraId="0BD58356" w14:textId="77777777" w:rsidR="00652942" w:rsidRPr="00095A33" w:rsidRDefault="00652942" w:rsidP="00652942">
      <w:pPr>
        <w:pStyle w:val="Subhead2"/>
      </w:pPr>
      <w:r w:rsidRPr="00095A33">
        <w:t>United States</w:t>
      </w:r>
    </w:p>
    <w:p w14:paraId="191C3A3C" w14:textId="77777777" w:rsidR="00652942" w:rsidRPr="00095A33" w:rsidRDefault="00652942" w:rsidP="00652942">
      <w:pPr>
        <w:pStyle w:val="Bulletedtext"/>
      </w:pPr>
      <w:r w:rsidRPr="0065330B">
        <w:rPr>
          <w:i/>
        </w:rPr>
        <w:t>Dermacentor variabilis</w:t>
      </w:r>
      <w:r>
        <w:t>—</w:t>
      </w:r>
      <w:r w:rsidRPr="00095A33">
        <w:t>common wood tick</w:t>
      </w:r>
    </w:p>
    <w:p w14:paraId="6AF2C7EA" w14:textId="77777777" w:rsidR="00652942" w:rsidRPr="00095A33" w:rsidRDefault="00652942" w:rsidP="00652942">
      <w:pPr>
        <w:pStyle w:val="Bulletedtext"/>
      </w:pPr>
      <w:r w:rsidRPr="0065330B">
        <w:rPr>
          <w:i/>
        </w:rPr>
        <w:t>Dermacentor andersoni</w:t>
      </w:r>
      <w:r>
        <w:t>—</w:t>
      </w:r>
      <w:r w:rsidRPr="00095A33">
        <w:t>Rocky Mountain wood tick</w:t>
      </w:r>
    </w:p>
    <w:p w14:paraId="7EEC5E14" w14:textId="77777777" w:rsidR="00652942" w:rsidRPr="00095A33" w:rsidRDefault="00652942" w:rsidP="00652942">
      <w:pPr>
        <w:pStyle w:val="Bulletedtext"/>
      </w:pPr>
      <w:r w:rsidRPr="0065330B">
        <w:rPr>
          <w:i/>
        </w:rPr>
        <w:t>Amblyomma americanum</w:t>
      </w:r>
      <w:r>
        <w:t>—</w:t>
      </w:r>
      <w:r w:rsidRPr="00095A33">
        <w:t>lone star tick</w:t>
      </w:r>
    </w:p>
    <w:p w14:paraId="4CE2320E" w14:textId="77777777" w:rsidR="00652942" w:rsidRDefault="00652942" w:rsidP="000E0F69">
      <w:pPr>
        <w:pStyle w:val="Bulletedtext"/>
      </w:pPr>
      <w:r w:rsidRPr="002556B4">
        <w:rPr>
          <w:i/>
          <w:iCs/>
        </w:rPr>
        <w:t>Amblyomma maculatum</w:t>
      </w:r>
      <w:r>
        <w:t>—</w:t>
      </w:r>
      <w:r w:rsidRPr="00095A33">
        <w:t xml:space="preserve">Gulf Coast tick </w:t>
      </w:r>
    </w:p>
    <w:p w14:paraId="1CA7289E" w14:textId="77777777" w:rsidR="005B5FF9" w:rsidRPr="00095A33" w:rsidRDefault="005B5FF9" w:rsidP="00652942">
      <w:pPr>
        <w:pStyle w:val="Subhead"/>
      </w:pPr>
      <w:r w:rsidRPr="00095A33">
        <w:t>Risk Factors</w:t>
      </w:r>
    </w:p>
    <w:p w14:paraId="53CDED98" w14:textId="77777777" w:rsidR="005B5FF9" w:rsidRPr="00095A33" w:rsidRDefault="005B5FF9" w:rsidP="005B5FF9">
      <w:pPr>
        <w:pStyle w:val="Bulletedtext"/>
      </w:pPr>
      <w:r w:rsidRPr="00095A33">
        <w:t>Environments that harbor ticks</w:t>
      </w:r>
    </w:p>
    <w:p w14:paraId="1E20C2E7" w14:textId="77777777" w:rsidR="005B5FF9" w:rsidRPr="00095A33" w:rsidRDefault="005B5FF9" w:rsidP="005B5FF9">
      <w:pPr>
        <w:pStyle w:val="Bulletedtext"/>
      </w:pPr>
      <w:r w:rsidRPr="00095A33">
        <w:t>United States</w:t>
      </w:r>
      <w:r>
        <w:t>—</w:t>
      </w:r>
      <w:r w:rsidRPr="0065330B">
        <w:rPr>
          <w:i/>
        </w:rPr>
        <w:t>Dermacentor variabilis</w:t>
      </w:r>
      <w:r w:rsidRPr="00095A33">
        <w:t xml:space="preserve">: wide distribution over the eastern two-thirds of the country and in California and Oregon; </w:t>
      </w:r>
      <w:r w:rsidRPr="0065330B">
        <w:rPr>
          <w:i/>
        </w:rPr>
        <w:t>Dermacentor andersoni</w:t>
      </w:r>
      <w:r w:rsidRPr="00095A33">
        <w:t xml:space="preserve">: from the Cascades to the Rocky Mountains; </w:t>
      </w:r>
      <w:r w:rsidRPr="0065330B">
        <w:rPr>
          <w:i/>
        </w:rPr>
        <w:t>Amblyomma americanum</w:t>
      </w:r>
      <w:r w:rsidRPr="00095A33">
        <w:t xml:space="preserve">: from Texas and Missouri to the Atlantic Coast; </w:t>
      </w:r>
      <w:r w:rsidRPr="0065330B">
        <w:rPr>
          <w:i/>
        </w:rPr>
        <w:t>Amblyomma maculatum</w:t>
      </w:r>
      <w:r w:rsidRPr="00095A33">
        <w:t>: the Atlantic and Gulf of Mexico seaboards</w:t>
      </w:r>
    </w:p>
    <w:p w14:paraId="69E1D3DC" w14:textId="72BB9F38" w:rsidR="005B5FF9" w:rsidRPr="00095A33" w:rsidRDefault="005B5FF9" w:rsidP="005B5FF9">
      <w:pPr>
        <w:pStyle w:val="Bulletedtext"/>
      </w:pPr>
      <w:r w:rsidRPr="00095A33">
        <w:t>Australia</w:t>
      </w:r>
      <w:r>
        <w:t>—</w:t>
      </w:r>
      <w:r w:rsidRPr="0065330B">
        <w:rPr>
          <w:i/>
        </w:rPr>
        <w:t xml:space="preserve">Ixodes </w:t>
      </w:r>
      <w:proofErr w:type="spellStart"/>
      <w:r w:rsidRPr="0065330B">
        <w:rPr>
          <w:i/>
        </w:rPr>
        <w:t>holocyclus</w:t>
      </w:r>
      <w:proofErr w:type="spellEnd"/>
      <w:r w:rsidRPr="00095A33">
        <w:t>: limited to the coastal areas of the east; especially associated with areas of bush and scrub</w:t>
      </w:r>
      <w:r w:rsidR="00981788">
        <w:t xml:space="preserve">; </w:t>
      </w:r>
      <w:r w:rsidR="00981788" w:rsidRPr="000E0F69">
        <w:rPr>
          <w:i/>
        </w:rPr>
        <w:t>I. cornuatus</w:t>
      </w:r>
      <w:r w:rsidR="00981788">
        <w:t>, southern paralysis tick, occasional cause of paralysis in Southern Australia</w:t>
      </w:r>
      <w:r w:rsidR="00452F86">
        <w:t>; highest risk in spring, during times of greatest rainfall, with tree cover and interspersed water; highest risk in dogs less than 6 months old or if a toy</w:t>
      </w:r>
      <w:r w:rsidR="00DE0C95">
        <w:t>-</w:t>
      </w:r>
      <w:r w:rsidR="00452F86">
        <w:t>breed dog</w:t>
      </w:r>
    </w:p>
    <w:p w14:paraId="178984C1" w14:textId="77777777" w:rsidR="005B5FF9" w:rsidRPr="00095A33" w:rsidRDefault="005B5FF9" w:rsidP="005B5FF9">
      <w:pPr>
        <w:pStyle w:val="MainHeading"/>
      </w:pPr>
      <w:r w:rsidRPr="00095A33">
        <w:t>Treatment</w:t>
      </w:r>
    </w:p>
    <w:p w14:paraId="11B68DD3" w14:textId="77777777" w:rsidR="005B5FF9" w:rsidRPr="00095A33" w:rsidRDefault="005B5FF9" w:rsidP="005B5FF9">
      <w:pPr>
        <w:pStyle w:val="Subhead"/>
      </w:pPr>
      <w:r w:rsidRPr="00095A33">
        <w:t>Health Care</w:t>
      </w:r>
    </w:p>
    <w:p w14:paraId="236B837D" w14:textId="24EBDF85" w:rsidR="005B5FF9" w:rsidRPr="00095A33" w:rsidRDefault="005B5FF9" w:rsidP="005B5FF9">
      <w:pPr>
        <w:pStyle w:val="Bulletedtext"/>
      </w:pPr>
      <w:r w:rsidRPr="00095A33">
        <w:t>Inpatient</w:t>
      </w:r>
      <w:r>
        <w:t>—</w:t>
      </w:r>
      <w:r w:rsidRPr="00095A33">
        <w:t xml:space="preserve">any nervous system dysfunction suggesting tick paralysis; hospitalize </w:t>
      </w:r>
      <w:r w:rsidR="00DE0C95">
        <w:t xml:space="preserve">the pet </w:t>
      </w:r>
      <w:r w:rsidRPr="00095A33">
        <w:t>until either a tick is found and removed or appropriate treatment to kill a hidden tick is performed</w:t>
      </w:r>
    </w:p>
    <w:p w14:paraId="6EA00FD9" w14:textId="77777777" w:rsidR="005B5FF9" w:rsidRPr="00095A33" w:rsidRDefault="005B5FF9" w:rsidP="005B5FF9">
      <w:pPr>
        <w:pStyle w:val="Bulletedtext"/>
      </w:pPr>
      <w:r w:rsidRPr="00095A33">
        <w:t>Inpatient supportive care</w:t>
      </w:r>
      <w:r>
        <w:t>—</w:t>
      </w:r>
      <w:r w:rsidRPr="00095A33">
        <w:t>essential until pet begins to show signs of recovery</w:t>
      </w:r>
    </w:p>
    <w:p w14:paraId="0D8CF5F1" w14:textId="77777777" w:rsidR="005B5FF9" w:rsidRPr="00095A33" w:rsidRDefault="005B5FF9" w:rsidP="005B5FF9">
      <w:pPr>
        <w:pStyle w:val="Bulletedtext"/>
      </w:pPr>
      <w:r w:rsidRPr="00095A33">
        <w:t>Oxygen cage</w:t>
      </w:r>
      <w:r>
        <w:t>—</w:t>
      </w:r>
      <w:r w:rsidRPr="00095A33">
        <w:t xml:space="preserve">for pets with decreased ability to breath (known as </w:t>
      </w:r>
      <w:r>
        <w:t>“</w:t>
      </w:r>
      <w:r w:rsidRPr="00095A33">
        <w:t>hypoventilation</w:t>
      </w:r>
      <w:r>
        <w:t>”</w:t>
      </w:r>
      <w:r w:rsidRPr="00095A33">
        <w:t xml:space="preserve">) and low levels of oxygen in the body (known as </w:t>
      </w:r>
      <w:r>
        <w:t>“</w:t>
      </w:r>
      <w:r w:rsidRPr="00095A33">
        <w:t>hypoxia</w:t>
      </w:r>
      <w:r>
        <w:t>”</w:t>
      </w:r>
      <w:r w:rsidRPr="00095A33">
        <w:t>)</w:t>
      </w:r>
    </w:p>
    <w:p w14:paraId="73C3C6A2" w14:textId="77777777" w:rsidR="005B5FF9" w:rsidRPr="00095A33" w:rsidRDefault="005B5FF9" w:rsidP="005B5FF9">
      <w:pPr>
        <w:pStyle w:val="Bulletedtext"/>
      </w:pPr>
      <w:r w:rsidRPr="00095A33">
        <w:t>Artificial ventilation</w:t>
      </w:r>
      <w:r>
        <w:t>—</w:t>
      </w:r>
      <w:r w:rsidRPr="00095A33">
        <w:t>for pets with breathing failure or respiratory paralysis</w:t>
      </w:r>
    </w:p>
    <w:p w14:paraId="38A83BE0" w14:textId="22D818F0" w:rsidR="005B5FF9" w:rsidRPr="00095A33" w:rsidRDefault="005B5FF9" w:rsidP="005B5FF9">
      <w:pPr>
        <w:pStyle w:val="Bulletedtext"/>
      </w:pPr>
      <w:r w:rsidRPr="00095A33">
        <w:lastRenderedPageBreak/>
        <w:t>Intravenous fluid therapy</w:t>
      </w:r>
      <w:r>
        <w:t>—</w:t>
      </w:r>
      <w:r w:rsidRPr="00095A33">
        <w:t>generally not required, unless recovery is prolonged</w:t>
      </w:r>
      <w:r w:rsidR="0027156D">
        <w:t xml:space="preserve"> or </w:t>
      </w:r>
      <w:r w:rsidR="00DE0C95">
        <w:t xml:space="preserve">pet is </w:t>
      </w:r>
      <w:r w:rsidR="0027156D">
        <w:t>unable to eat and drink, has vomiting</w:t>
      </w:r>
      <w:r w:rsidR="00DE0C95">
        <w:t xml:space="preserve"> or </w:t>
      </w:r>
      <w:r w:rsidR="0027156D">
        <w:t>regurgitation</w:t>
      </w:r>
    </w:p>
    <w:p w14:paraId="290DC024" w14:textId="77777777" w:rsidR="005B5FF9" w:rsidRPr="00095A33" w:rsidRDefault="005B5FF9" w:rsidP="005B5FF9">
      <w:pPr>
        <w:pStyle w:val="Subhead"/>
      </w:pPr>
      <w:r w:rsidRPr="00095A33">
        <w:t>Activity</w:t>
      </w:r>
    </w:p>
    <w:p w14:paraId="0F90EEA9" w14:textId="77777777" w:rsidR="005B5FF9" w:rsidRPr="00095A33" w:rsidRDefault="005B5FF9" w:rsidP="005B5FF9">
      <w:pPr>
        <w:pStyle w:val="Bulletedtext"/>
      </w:pPr>
      <w:r w:rsidRPr="00095A33">
        <w:t>Keep pet in a quiet environment</w:t>
      </w:r>
    </w:p>
    <w:p w14:paraId="46208B1B" w14:textId="77777777" w:rsidR="005B5FF9" w:rsidRPr="00095A33" w:rsidRDefault="005B5FF9" w:rsidP="005B5FF9">
      <w:pPr>
        <w:pStyle w:val="Bulletedtext"/>
      </w:pPr>
      <w:r w:rsidRPr="0065330B">
        <w:rPr>
          <w:i/>
        </w:rPr>
        <w:t>Ixodes</w:t>
      </w:r>
      <w:r w:rsidRPr="00095A33">
        <w:t xml:space="preserve"> tick paralysis</w:t>
      </w:r>
      <w:r>
        <w:t>—</w:t>
      </w:r>
      <w:r w:rsidRPr="00095A33">
        <w:t>keep pet in a cool, air-conditioned area; toxin is temperature sensitive; avoid activity to prevent increase in body temperature</w:t>
      </w:r>
    </w:p>
    <w:p w14:paraId="6985701C" w14:textId="77777777" w:rsidR="005B5FF9" w:rsidRPr="00095A33" w:rsidRDefault="005B5FF9" w:rsidP="005B5FF9">
      <w:pPr>
        <w:pStyle w:val="Subhead"/>
      </w:pPr>
      <w:r w:rsidRPr="00095A33">
        <w:t>Diet</w:t>
      </w:r>
    </w:p>
    <w:p w14:paraId="3F2AD231" w14:textId="77777777" w:rsidR="005B5FF9" w:rsidRPr="00095A33" w:rsidRDefault="005B5FF9" w:rsidP="005B5FF9">
      <w:pPr>
        <w:pStyle w:val="Bulletedtext"/>
      </w:pPr>
      <w:r w:rsidRPr="00095A33">
        <w:t>Withhold food and water, if pet has difficulty swallowing (dysphagia) or vomiting/regurgitation</w:t>
      </w:r>
    </w:p>
    <w:p w14:paraId="68CE6A7B" w14:textId="77777777" w:rsidR="005B5FF9" w:rsidRPr="00095A33" w:rsidRDefault="005B5FF9" w:rsidP="00A0621D">
      <w:pPr>
        <w:pStyle w:val="MainHeading"/>
        <w:keepNext/>
        <w:keepLines/>
        <w:widowControl/>
        <w:ind w:right="289"/>
      </w:pPr>
      <w:r w:rsidRPr="00095A33">
        <w:t>Medications</w:t>
      </w:r>
    </w:p>
    <w:p w14:paraId="51D7D1DD" w14:textId="77777777" w:rsidR="005B5FF9" w:rsidRPr="00095A33" w:rsidRDefault="005B5FF9" w:rsidP="00A0621D">
      <w:pPr>
        <w:pStyle w:val="Bulletedtext"/>
        <w:keepNext/>
        <w:keepLines/>
        <w:widowControl/>
        <w:numPr>
          <w:ilvl w:val="0"/>
          <w:numId w:val="0"/>
        </w:numPr>
        <w:ind w:left="432" w:right="289"/>
      </w:pPr>
      <w:r w:rsidRPr="00095A33">
        <w:t>Medications presented in this section are intended to provide general information about possible treatment. The treatment for a particular condition may evolve as medical advances are made; therefore, the medications should not be considered as all inclusive</w:t>
      </w:r>
    </w:p>
    <w:p w14:paraId="5F9AFBAD" w14:textId="574170C0" w:rsidR="005B5FF9" w:rsidRPr="00095A33" w:rsidRDefault="005B5FF9" w:rsidP="005B5FF9">
      <w:pPr>
        <w:pStyle w:val="Bulletedtext"/>
      </w:pPr>
      <w:r w:rsidRPr="00095A33">
        <w:t>United States</w:t>
      </w:r>
      <w:r>
        <w:t>—</w:t>
      </w:r>
      <w:r w:rsidRPr="00095A33">
        <w:t xml:space="preserve">if the tick cannot be found, treat the pet with a systemic insecticide (such as fipronil [Frontline]) applied to the skin (known as </w:t>
      </w:r>
      <w:r>
        <w:t>“</w:t>
      </w:r>
      <w:r w:rsidRPr="00095A33">
        <w:t>topical treatment</w:t>
      </w:r>
      <w:r>
        <w:t>”</w:t>
      </w:r>
      <w:r w:rsidRPr="00095A33">
        <w:t>) or, alternatively, use an insecticidal dip, following directions for use on the product label; often the only treatment needed</w:t>
      </w:r>
    </w:p>
    <w:p w14:paraId="57B6075E" w14:textId="048F4D1F" w:rsidR="005B5FF9" w:rsidRPr="00095A33" w:rsidRDefault="005B5FF9" w:rsidP="005B5FF9">
      <w:pPr>
        <w:pStyle w:val="Bulletedtext"/>
      </w:pPr>
      <w:r w:rsidRPr="00095A33">
        <w:t>Australia</w:t>
      </w:r>
      <w:r>
        <w:t>—</w:t>
      </w:r>
      <w:r w:rsidRPr="00095A33">
        <w:t xml:space="preserve">must neutralize circulating nerve toxin, depending on severity of clinical signs; if severe, </w:t>
      </w:r>
      <w:r w:rsidR="0027156D">
        <w:t xml:space="preserve">tick antitoxin hyperimmune serum (TAS); </w:t>
      </w:r>
      <w:r w:rsidRPr="00095A33">
        <w:t xml:space="preserve">phenoxybenzamine, an </w:t>
      </w:r>
      <w:r w:rsidR="00DE0C95">
        <w:t>alpha</w:t>
      </w:r>
      <w:r w:rsidRPr="00095A33">
        <w:t>-adrenergic antagonist</w:t>
      </w:r>
      <w:r w:rsidR="00DE0C95">
        <w:t>,</w:t>
      </w:r>
      <w:r w:rsidRPr="00095A33">
        <w:t xml:space="preserve"> </w:t>
      </w:r>
      <w:r w:rsidR="0027156D">
        <w:t>can</w:t>
      </w:r>
      <w:r w:rsidRPr="00095A33">
        <w:t xml:space="preserve"> be beneficial</w:t>
      </w:r>
    </w:p>
    <w:p w14:paraId="7D459416" w14:textId="77777777" w:rsidR="005B5FF9" w:rsidRPr="00095A33" w:rsidRDefault="005B5FF9" w:rsidP="005B5FF9">
      <w:pPr>
        <w:pStyle w:val="MainHeading"/>
      </w:pPr>
      <w:r w:rsidRPr="00095A33">
        <w:t>Follow-Up Care</w:t>
      </w:r>
    </w:p>
    <w:p w14:paraId="714F0241" w14:textId="77777777" w:rsidR="005B5FF9" w:rsidRPr="00095A33" w:rsidRDefault="005B5FF9" w:rsidP="005B5FF9">
      <w:pPr>
        <w:pStyle w:val="Subhead"/>
      </w:pPr>
      <w:r w:rsidRPr="00095A33">
        <w:t>Patient Monitoring</w:t>
      </w:r>
    </w:p>
    <w:p w14:paraId="7F1677F6" w14:textId="088E49CC" w:rsidR="005B5FF9" w:rsidRPr="00095A33" w:rsidRDefault="005B5FF9" w:rsidP="005B5FF9">
      <w:pPr>
        <w:pStyle w:val="Bulletedtext"/>
      </w:pPr>
      <w:r w:rsidRPr="00095A33">
        <w:t>Non-</w:t>
      </w:r>
      <w:r w:rsidRPr="0065330B">
        <w:rPr>
          <w:i/>
        </w:rPr>
        <w:t>Ixodes</w:t>
      </w:r>
      <w:r w:rsidRPr="00095A33">
        <w:t xml:space="preserve"> tick</w:t>
      </w:r>
      <w:r>
        <w:t>—</w:t>
      </w:r>
      <w:r w:rsidRPr="00095A33">
        <w:t>reassess nervous system status after tick removal at least daily</w:t>
      </w:r>
      <w:r w:rsidR="00DE0C95">
        <w:t xml:space="preserve">; </w:t>
      </w:r>
      <w:r w:rsidRPr="00095A33">
        <w:t>should see rapid improvement in muscle strength</w:t>
      </w:r>
    </w:p>
    <w:p w14:paraId="1C051E6B" w14:textId="77777777" w:rsidR="005B5FF9" w:rsidRPr="00095A33" w:rsidRDefault="005B5FF9" w:rsidP="005B5FF9">
      <w:pPr>
        <w:pStyle w:val="Bulletedtext"/>
      </w:pPr>
      <w:r w:rsidRPr="0065330B">
        <w:rPr>
          <w:i/>
        </w:rPr>
        <w:t>Ixodes</w:t>
      </w:r>
      <w:r w:rsidRPr="00095A33">
        <w:t xml:space="preserve"> tick</w:t>
      </w:r>
      <w:r>
        <w:t>—</w:t>
      </w:r>
      <w:r w:rsidRPr="00095A33">
        <w:t>monitor nervous system status and breathing and circulatory functions continuously and intensively even after tick removal, because of the residual effect of the nerve toxin</w:t>
      </w:r>
    </w:p>
    <w:p w14:paraId="0B6CA0B4" w14:textId="55B1DF0A" w:rsidR="005B5FF9" w:rsidRPr="00095A33" w:rsidRDefault="005B5FF9" w:rsidP="005B5FF9">
      <w:pPr>
        <w:pStyle w:val="Subhead"/>
      </w:pPr>
      <w:r w:rsidRPr="00095A33">
        <w:t>Prevention and Avoidance</w:t>
      </w:r>
    </w:p>
    <w:p w14:paraId="615DC4D9" w14:textId="77777777" w:rsidR="005B5FF9" w:rsidRPr="00095A33" w:rsidRDefault="005B5FF9" w:rsidP="005B5FF9">
      <w:pPr>
        <w:pStyle w:val="Bulletedtext"/>
      </w:pPr>
      <w:r w:rsidRPr="00095A33">
        <w:t>Vigilantly check for ticks</w:t>
      </w:r>
      <w:r w:rsidR="00954A90">
        <w:t>,</w:t>
      </w:r>
      <w:r w:rsidRPr="00095A33">
        <w:t xml:space="preserve"> </w:t>
      </w:r>
      <w:r w:rsidR="00954A90">
        <w:t>up to 9</w:t>
      </w:r>
      <w:r w:rsidRPr="00095A33">
        <w:t xml:space="preserve"> days after tick </w:t>
      </w:r>
      <w:r w:rsidR="00954A90">
        <w:t>exposure</w:t>
      </w:r>
    </w:p>
    <w:p w14:paraId="6555A028" w14:textId="77777777" w:rsidR="005B5FF9" w:rsidRPr="00095A33" w:rsidRDefault="005B5FF9" w:rsidP="005B5FF9">
      <w:pPr>
        <w:pStyle w:val="Bulletedtext"/>
      </w:pPr>
      <w:r w:rsidRPr="00095A33">
        <w:t>Routine topical application of fipronil (Frontline)</w:t>
      </w:r>
      <w:r w:rsidR="00954A90">
        <w:t>, collar,</w:t>
      </w:r>
      <w:r w:rsidRPr="00095A33">
        <w:t xml:space="preserve"> or weekly insecticidal baths </w:t>
      </w:r>
      <w:r w:rsidR="00954A90">
        <w:t>(keep</w:t>
      </w:r>
      <w:r w:rsidRPr="00095A33">
        <w:t xml:space="preserve"> ticks off the pet or </w:t>
      </w:r>
      <w:r w:rsidR="00954A90">
        <w:t>kill</w:t>
      </w:r>
      <w:r w:rsidRPr="00095A33">
        <w:t xml:space="preserve"> the ticks before the nerve toxin has reached a level in the pet's body to cause signs)</w:t>
      </w:r>
    </w:p>
    <w:p w14:paraId="20EE0AE1" w14:textId="77777777" w:rsidR="005B5FF9" w:rsidRPr="00095A33" w:rsidRDefault="005B5FF9" w:rsidP="005B5FF9">
      <w:pPr>
        <w:pStyle w:val="Bulletedtext"/>
      </w:pPr>
      <w:r w:rsidRPr="00095A33">
        <w:t xml:space="preserve">Short-term immunity develops after exposure to </w:t>
      </w:r>
      <w:r w:rsidRPr="0065330B">
        <w:rPr>
          <w:i/>
        </w:rPr>
        <w:t>Ixodes</w:t>
      </w:r>
      <w:r w:rsidRPr="00095A33">
        <w:t xml:space="preserve"> nerve toxin</w:t>
      </w:r>
    </w:p>
    <w:p w14:paraId="6724263D" w14:textId="77777777" w:rsidR="005B5FF9" w:rsidRPr="00095A33" w:rsidRDefault="005B5FF9" w:rsidP="005B5FF9">
      <w:pPr>
        <w:pStyle w:val="Subhead"/>
      </w:pPr>
      <w:r w:rsidRPr="00095A33">
        <w:t>Possible Complications</w:t>
      </w:r>
    </w:p>
    <w:p w14:paraId="70DBDD74" w14:textId="77777777" w:rsidR="005B5FF9" w:rsidRPr="00095A33" w:rsidRDefault="005B5FF9" w:rsidP="005B5FF9">
      <w:pPr>
        <w:pStyle w:val="Bulletedtext"/>
      </w:pPr>
      <w:r w:rsidRPr="00095A33">
        <w:t>No long-term complications, if the pet survives the sudden (acute) effects of the nerve toxin</w:t>
      </w:r>
    </w:p>
    <w:p w14:paraId="3DCBAF8A" w14:textId="77777777" w:rsidR="005B5FF9" w:rsidRPr="00095A33" w:rsidRDefault="005B5FF9" w:rsidP="005B5FF9">
      <w:pPr>
        <w:pStyle w:val="Bulletedtext"/>
      </w:pPr>
      <w:r w:rsidRPr="00095A33">
        <w:t>Death</w:t>
      </w:r>
    </w:p>
    <w:p w14:paraId="4A1A1979" w14:textId="77777777" w:rsidR="005B5FF9" w:rsidRPr="00095A33" w:rsidRDefault="005B5FF9" w:rsidP="005B5FF9">
      <w:pPr>
        <w:pStyle w:val="Subhead"/>
      </w:pPr>
      <w:r w:rsidRPr="00095A33">
        <w:t>Expected Course and Prognosis</w:t>
      </w:r>
    </w:p>
    <w:p w14:paraId="665016B7" w14:textId="77777777" w:rsidR="005B5FF9" w:rsidRPr="00095A33" w:rsidRDefault="005B5FF9" w:rsidP="005B5FF9">
      <w:pPr>
        <w:pStyle w:val="Bulletedtext"/>
      </w:pPr>
      <w:r w:rsidRPr="00095A33">
        <w:t>Non-</w:t>
      </w:r>
      <w:r w:rsidRPr="0065330B">
        <w:rPr>
          <w:i/>
        </w:rPr>
        <w:t>Ixodes</w:t>
      </w:r>
      <w:r w:rsidRPr="00095A33">
        <w:t xml:space="preserve"> tick</w:t>
      </w:r>
      <w:r>
        <w:t>—</w:t>
      </w:r>
      <w:r w:rsidRPr="00095A33">
        <w:t>prognosis good to excellent, if ticks are removed; recovery occurs in 1</w:t>
      </w:r>
      <w:r>
        <w:t>–</w:t>
      </w:r>
      <w:r w:rsidRPr="00095A33">
        <w:t>3 days (3 days maximum)</w:t>
      </w:r>
    </w:p>
    <w:p w14:paraId="29844991" w14:textId="77777777" w:rsidR="005B5FF9" w:rsidRPr="00095A33" w:rsidRDefault="005B5FF9" w:rsidP="005B5FF9">
      <w:pPr>
        <w:pStyle w:val="Bulletedtext"/>
      </w:pPr>
      <w:r w:rsidRPr="002556B4">
        <w:rPr>
          <w:i/>
          <w:iCs/>
        </w:rPr>
        <w:t>Ixodes</w:t>
      </w:r>
      <w:r w:rsidRPr="00095A33">
        <w:t xml:space="preserve"> tick</w:t>
      </w:r>
      <w:r>
        <w:t>—</w:t>
      </w:r>
      <w:r w:rsidRPr="00095A33">
        <w:t xml:space="preserve">prognosis often guarded; recovery prolonged; </w:t>
      </w:r>
      <w:r w:rsidR="00954A90">
        <w:t xml:space="preserve">removal of tick does not always result in improvement; </w:t>
      </w:r>
      <w:r w:rsidRPr="00095A33">
        <w:t>death in 1</w:t>
      </w:r>
      <w:r>
        <w:t>–</w:t>
      </w:r>
      <w:r w:rsidRPr="00095A33">
        <w:t>2 days</w:t>
      </w:r>
      <w:r w:rsidR="00954A90">
        <w:t xml:space="preserve"> usually from paralysis of respiratory muscles; 59% mortality rate in dogs, lower in cats</w:t>
      </w:r>
    </w:p>
    <w:p w14:paraId="53070668" w14:textId="77777777" w:rsidR="005B5FF9" w:rsidRPr="00095A33" w:rsidRDefault="005B5FF9" w:rsidP="005B5FF9">
      <w:pPr>
        <w:pStyle w:val="MainHeading"/>
      </w:pPr>
      <w:r w:rsidRPr="00095A33">
        <w:t>Key Points</w:t>
      </w:r>
    </w:p>
    <w:p w14:paraId="4F8DAF9A" w14:textId="23C66ADC" w:rsidR="005B5FF9" w:rsidRPr="00095A33" w:rsidRDefault="005B5FF9" w:rsidP="005B5FF9">
      <w:pPr>
        <w:pStyle w:val="Bulletedtext"/>
      </w:pPr>
      <w:r w:rsidRPr="00095A33">
        <w:t>Non-</w:t>
      </w:r>
      <w:r w:rsidRPr="0065330B">
        <w:rPr>
          <w:i/>
        </w:rPr>
        <w:t>Ixodes</w:t>
      </w:r>
      <w:r w:rsidRPr="00095A33">
        <w:t xml:space="preserve"> tick</w:t>
      </w:r>
      <w:r>
        <w:t>—</w:t>
      </w:r>
      <w:r w:rsidRPr="00095A33">
        <w:t>good nursing care is essential, although the pet</w:t>
      </w:r>
      <w:r w:rsidR="00DE0C95">
        <w:t>’</w:t>
      </w:r>
      <w:r w:rsidRPr="00095A33">
        <w:t>s recovery is rapid after removal of ticks (often within 24</w:t>
      </w:r>
      <w:r>
        <w:t>–</w:t>
      </w:r>
      <w:r w:rsidRPr="00095A33">
        <w:t>48 hours)</w:t>
      </w:r>
    </w:p>
    <w:p w14:paraId="09968F66" w14:textId="0DFE46CD" w:rsidR="005B5FF9" w:rsidRPr="00095A33" w:rsidRDefault="005B5FF9" w:rsidP="005B5FF9">
      <w:pPr>
        <w:pStyle w:val="Bulletedtext"/>
      </w:pPr>
      <w:r w:rsidRPr="0065330B">
        <w:rPr>
          <w:i/>
        </w:rPr>
        <w:t>Ixodes</w:t>
      </w:r>
      <w:r w:rsidRPr="00095A33">
        <w:t xml:space="preserve"> tick</w:t>
      </w:r>
      <w:r>
        <w:t>—</w:t>
      </w:r>
      <w:r w:rsidRPr="00095A33">
        <w:t xml:space="preserve">signs often continue to worsen despite tick removal (weakness </w:t>
      </w:r>
      <w:r w:rsidR="00DE0C95">
        <w:t>frequently</w:t>
      </w:r>
      <w:r w:rsidR="00DE0C95" w:rsidRPr="00095A33">
        <w:t xml:space="preserve"> </w:t>
      </w:r>
      <w:r w:rsidRPr="00095A33">
        <w:t>intensifies 24</w:t>
      </w:r>
      <w:r>
        <w:t>–</w:t>
      </w:r>
      <w:r w:rsidRPr="00095A33">
        <w:t>48 hours after tick removal); thus more aggressive treatment to neutralize the nerve toxin must be undertaken</w:t>
      </w:r>
    </w:p>
    <w:p w14:paraId="41E127A9" w14:textId="77777777" w:rsidR="00DE0C95" w:rsidRDefault="00DE0C95">
      <w:pPr>
        <w:rPr>
          <w:rFonts w:ascii="Georgia" w:eastAsia="Times-Roman" w:hAnsi="Georgia"/>
          <w:color w:val="000000"/>
          <w:kern w:val="1"/>
          <w:sz w:val="20"/>
          <w:szCs w:val="20"/>
          <w:lang w:eastAsia="hi-IN" w:bidi="hi-IN"/>
        </w:rPr>
      </w:pPr>
      <w:r>
        <w:br w:type="page"/>
      </w:r>
    </w:p>
    <w:p w14:paraId="7007F778" w14:textId="6EEEE7E2" w:rsidR="00361226" w:rsidRDefault="004974DB" w:rsidP="008F0082">
      <w:pPr>
        <w:pStyle w:val="Bulletedtext"/>
        <w:numPr>
          <w:ilvl w:val="0"/>
          <w:numId w:val="0"/>
        </w:numPr>
        <w:rPr>
          <w:rFonts w:cs="Times New Roman"/>
        </w:rPr>
      </w:pPr>
      <w:r>
        <w:rPr>
          <w:noProof/>
          <w:lang w:eastAsia="en-US" w:bidi="ar-SA"/>
        </w:rPr>
        <w:lastRenderedPageBreak/>
        <w:drawing>
          <wp:anchor distT="0" distB="0" distL="0" distR="0" simplePos="0" relativeHeight="251659264" behindDoc="1" locked="0" layoutInCell="1" allowOverlap="1" wp14:anchorId="37D035A9" wp14:editId="49A7532F">
            <wp:simplePos x="0" y="0"/>
            <wp:positionH relativeFrom="column">
              <wp:posOffset>29845</wp:posOffset>
            </wp:positionH>
            <wp:positionV relativeFrom="paragraph">
              <wp:posOffset>184785</wp:posOffset>
            </wp:positionV>
            <wp:extent cx="6805295" cy="3330575"/>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05295" cy="3330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418" w:type="dxa"/>
        <w:tblLayout w:type="fixed"/>
        <w:tblCellMar>
          <w:top w:w="864" w:type="dxa"/>
          <w:left w:w="418" w:type="dxa"/>
          <w:bottom w:w="86" w:type="dxa"/>
          <w:right w:w="360" w:type="dxa"/>
        </w:tblCellMar>
        <w:tblLook w:val="0000" w:firstRow="0" w:lastRow="0" w:firstColumn="0" w:lastColumn="0" w:noHBand="0" w:noVBand="0"/>
      </w:tblPr>
      <w:tblGrid>
        <w:gridCol w:w="10254"/>
        <w:gridCol w:w="798"/>
      </w:tblGrid>
      <w:tr w:rsidR="00361226" w14:paraId="36EB63A7" w14:textId="77777777">
        <w:tc>
          <w:tcPr>
            <w:tcW w:w="10254" w:type="dxa"/>
          </w:tcPr>
          <w:p w14:paraId="7CADB85E" w14:textId="77777777" w:rsidR="00361226" w:rsidRDefault="00361226">
            <w:pPr>
              <w:pStyle w:val="Notes"/>
            </w:pPr>
            <w:r>
              <w:t>Enter notes here</w:t>
            </w:r>
          </w:p>
          <w:p w14:paraId="2F86DF11" w14:textId="77777777" w:rsidR="00361226" w:rsidRDefault="00361226">
            <w:pPr>
              <w:pStyle w:val="Notes"/>
            </w:pPr>
          </w:p>
          <w:p w14:paraId="64285ED3" w14:textId="77777777" w:rsidR="00361226" w:rsidRDefault="00361226">
            <w:pPr>
              <w:pStyle w:val="TableContents"/>
              <w:rPr>
                <w:rFonts w:ascii="Georgia" w:eastAsia="Times-Roman" w:hAnsi="Georgia"/>
                <w:sz w:val="20"/>
                <w:szCs w:val="20"/>
              </w:rPr>
            </w:pPr>
          </w:p>
        </w:tc>
        <w:tc>
          <w:tcPr>
            <w:tcW w:w="553" w:type="dxa"/>
          </w:tcPr>
          <w:p w14:paraId="7BCAA1B6" w14:textId="77777777" w:rsidR="00361226" w:rsidRDefault="00361226">
            <w:pPr>
              <w:pStyle w:val="TableContents"/>
              <w:rPr>
                <w:rFonts w:ascii="Georgia" w:eastAsia="Times-Roman" w:hAnsi="Georgia"/>
                <w:sz w:val="20"/>
                <w:szCs w:val="20"/>
              </w:rPr>
            </w:pPr>
          </w:p>
          <w:p w14:paraId="27AAB3E3" w14:textId="77777777" w:rsidR="00361226" w:rsidRDefault="00361226">
            <w:pPr>
              <w:pStyle w:val="TableContents"/>
              <w:rPr>
                <w:rFonts w:ascii="Georgia" w:eastAsia="Times-Roman" w:hAnsi="Georgia"/>
                <w:sz w:val="20"/>
                <w:szCs w:val="20"/>
              </w:rPr>
            </w:pPr>
          </w:p>
          <w:p w14:paraId="5AC3CD2D" w14:textId="77777777" w:rsidR="00361226" w:rsidRDefault="00361226">
            <w:pPr>
              <w:pStyle w:val="TableContents"/>
              <w:rPr>
                <w:rFonts w:ascii="Georgia" w:eastAsia="Times-Roman" w:hAnsi="Georgia"/>
                <w:sz w:val="20"/>
                <w:szCs w:val="20"/>
              </w:rPr>
            </w:pPr>
          </w:p>
          <w:p w14:paraId="24A31CA7" w14:textId="77777777" w:rsidR="00361226" w:rsidRDefault="00361226">
            <w:pPr>
              <w:pStyle w:val="TableContents"/>
              <w:rPr>
                <w:rFonts w:ascii="Georgia" w:eastAsia="Times-Roman" w:hAnsi="Georgia"/>
                <w:sz w:val="20"/>
                <w:szCs w:val="20"/>
              </w:rPr>
            </w:pPr>
          </w:p>
          <w:p w14:paraId="208EFC53" w14:textId="77777777" w:rsidR="00361226" w:rsidRDefault="00361226">
            <w:pPr>
              <w:pStyle w:val="TableContents"/>
              <w:rPr>
                <w:rFonts w:ascii="Georgia" w:eastAsia="Times-Roman" w:hAnsi="Georgia"/>
                <w:sz w:val="20"/>
                <w:szCs w:val="20"/>
              </w:rPr>
            </w:pPr>
          </w:p>
          <w:p w14:paraId="2872C4D6" w14:textId="77777777" w:rsidR="00361226" w:rsidRDefault="00361226">
            <w:pPr>
              <w:pStyle w:val="TableContents"/>
              <w:rPr>
                <w:rFonts w:ascii="Georgia" w:eastAsia="Times-Roman" w:hAnsi="Georgia"/>
                <w:sz w:val="20"/>
                <w:szCs w:val="20"/>
              </w:rPr>
            </w:pPr>
          </w:p>
          <w:p w14:paraId="55F6008F" w14:textId="77777777" w:rsidR="00361226" w:rsidRDefault="00361226">
            <w:pPr>
              <w:pStyle w:val="TableContents"/>
              <w:rPr>
                <w:rFonts w:ascii="Georgia" w:eastAsia="Times-Roman" w:hAnsi="Georgia"/>
                <w:sz w:val="20"/>
                <w:szCs w:val="20"/>
              </w:rPr>
            </w:pPr>
          </w:p>
          <w:p w14:paraId="59805E57" w14:textId="77777777" w:rsidR="00361226" w:rsidRDefault="00361226">
            <w:pPr>
              <w:pStyle w:val="TableContents"/>
              <w:rPr>
                <w:rFonts w:ascii="Georgia" w:eastAsia="Times-Roman" w:hAnsi="Georgia"/>
                <w:sz w:val="20"/>
                <w:szCs w:val="20"/>
              </w:rPr>
            </w:pPr>
          </w:p>
          <w:p w14:paraId="2CB01B21" w14:textId="77777777" w:rsidR="00361226" w:rsidRDefault="00361226">
            <w:pPr>
              <w:pStyle w:val="TableContents"/>
              <w:rPr>
                <w:rFonts w:ascii="Georgia" w:eastAsia="Times-Roman" w:hAnsi="Georgia"/>
                <w:sz w:val="20"/>
                <w:szCs w:val="20"/>
              </w:rPr>
            </w:pPr>
          </w:p>
          <w:p w14:paraId="7B0D8D90" w14:textId="77777777" w:rsidR="00361226" w:rsidRDefault="00361226">
            <w:pPr>
              <w:pStyle w:val="TableContents"/>
              <w:rPr>
                <w:rFonts w:ascii="Georgia" w:eastAsia="Times-Roman" w:hAnsi="Georgia"/>
                <w:sz w:val="20"/>
                <w:szCs w:val="20"/>
              </w:rPr>
            </w:pPr>
          </w:p>
          <w:p w14:paraId="51FCBF94" w14:textId="77777777" w:rsidR="00361226" w:rsidRDefault="00361226">
            <w:pPr>
              <w:pStyle w:val="TableContents"/>
              <w:rPr>
                <w:rFonts w:ascii="Georgia" w:eastAsia="Times-Roman" w:hAnsi="Georgia"/>
                <w:sz w:val="20"/>
                <w:szCs w:val="20"/>
              </w:rPr>
            </w:pPr>
          </w:p>
          <w:p w14:paraId="684E6AC1" w14:textId="77777777" w:rsidR="00361226" w:rsidRDefault="00361226">
            <w:pPr>
              <w:pStyle w:val="TableContents"/>
              <w:rPr>
                <w:rFonts w:ascii="Georgia" w:eastAsia="Times-Roman" w:hAnsi="Georgia"/>
                <w:sz w:val="20"/>
                <w:szCs w:val="20"/>
              </w:rPr>
            </w:pPr>
          </w:p>
          <w:p w14:paraId="23624DB9" w14:textId="77777777" w:rsidR="00361226" w:rsidRDefault="00361226">
            <w:pPr>
              <w:pStyle w:val="TableContents"/>
              <w:rPr>
                <w:rFonts w:ascii="Georgia" w:eastAsia="Times-Roman" w:hAnsi="Georgia"/>
                <w:sz w:val="20"/>
                <w:szCs w:val="20"/>
              </w:rPr>
            </w:pPr>
          </w:p>
          <w:p w14:paraId="0D4C835C" w14:textId="77777777" w:rsidR="00361226" w:rsidRDefault="00361226">
            <w:pPr>
              <w:pStyle w:val="TableContents"/>
              <w:rPr>
                <w:rFonts w:ascii="Georgia" w:eastAsia="Times-Roman" w:hAnsi="Georgia"/>
                <w:sz w:val="20"/>
                <w:szCs w:val="20"/>
              </w:rPr>
            </w:pPr>
          </w:p>
          <w:p w14:paraId="4B580908" w14:textId="77777777" w:rsidR="00361226" w:rsidRDefault="00361226">
            <w:pPr>
              <w:pStyle w:val="TableContents"/>
              <w:rPr>
                <w:rFonts w:ascii="Georgia" w:eastAsia="Times-Roman" w:hAnsi="Georgia"/>
                <w:sz w:val="20"/>
                <w:szCs w:val="20"/>
              </w:rPr>
            </w:pPr>
          </w:p>
          <w:p w14:paraId="0B5F62FB" w14:textId="77777777" w:rsidR="00361226" w:rsidRDefault="00361226">
            <w:pPr>
              <w:pStyle w:val="TableContents"/>
              <w:rPr>
                <w:rFonts w:ascii="Georgia" w:eastAsia="Times-Roman" w:hAnsi="Georgia"/>
                <w:sz w:val="20"/>
                <w:szCs w:val="20"/>
              </w:rPr>
            </w:pPr>
          </w:p>
          <w:p w14:paraId="65650050" w14:textId="77777777" w:rsidR="00361226" w:rsidRDefault="00361226">
            <w:pPr>
              <w:pStyle w:val="TableContents"/>
              <w:rPr>
                <w:rFonts w:ascii="Georgia" w:eastAsia="Times-Roman" w:hAnsi="Georgia"/>
                <w:sz w:val="20"/>
                <w:szCs w:val="20"/>
              </w:rPr>
            </w:pPr>
          </w:p>
          <w:p w14:paraId="6EC9E1B0" w14:textId="77777777" w:rsidR="00361226" w:rsidRDefault="00361226">
            <w:pPr>
              <w:pStyle w:val="TableContents"/>
              <w:rPr>
                <w:rFonts w:ascii="Georgia" w:eastAsia="Times-Roman" w:hAnsi="Georgia"/>
                <w:sz w:val="20"/>
                <w:szCs w:val="20"/>
              </w:rPr>
            </w:pPr>
          </w:p>
          <w:p w14:paraId="51E41AF7" w14:textId="77777777" w:rsidR="00361226" w:rsidRDefault="00361226">
            <w:pPr>
              <w:pStyle w:val="TableContents"/>
              <w:rPr>
                <w:rFonts w:ascii="Georgia" w:eastAsia="Times-Roman" w:hAnsi="Georgia"/>
                <w:sz w:val="20"/>
                <w:szCs w:val="20"/>
              </w:rPr>
            </w:pPr>
          </w:p>
        </w:tc>
      </w:tr>
    </w:tbl>
    <w:p w14:paraId="7F5AC30C" w14:textId="77777777" w:rsidR="00361226" w:rsidRDefault="00361226">
      <w:pPr>
        <w:pStyle w:val="Bulletedtext"/>
        <w:numPr>
          <w:ilvl w:val="0"/>
          <w:numId w:val="0"/>
        </w:numPr>
        <w:rPr>
          <w:rFonts w:cs="Times New Roman"/>
        </w:rPr>
      </w:pPr>
    </w:p>
    <w:p w14:paraId="7622CCD7" w14:textId="77777777" w:rsidR="00FE4B4B" w:rsidRDefault="00FE4B4B" w:rsidP="00FE4B4B">
      <w:pPr>
        <w:pStyle w:val="Bulletedtext"/>
        <w:numPr>
          <w:ilvl w:val="0"/>
          <w:numId w:val="0"/>
        </w:numPr>
        <w:tabs>
          <w:tab w:val="left" w:pos="720"/>
        </w:tabs>
        <w:rPr>
          <w:rFonts w:cs="Times New Roman"/>
        </w:rPr>
      </w:pPr>
      <w:r>
        <w:rPr>
          <w:rFonts w:ascii="Arial" w:eastAsia="Monaco" w:hAnsi="Arial" w:cs="Monaco"/>
          <w:i/>
          <w:iCs/>
          <w:color w:val="auto"/>
          <w:sz w:val="16"/>
          <w:szCs w:val="16"/>
        </w:rPr>
        <w:t>Blackwell's Five-Minute Veterinary Consult: Canine and Feline, Seventh Edition,</w:t>
      </w:r>
      <w:r>
        <w:rPr>
          <w:rFonts w:ascii="Arial" w:eastAsia="Monaco" w:hAnsi="Arial" w:cs="Monaco"/>
          <w:color w:val="auto"/>
          <w:sz w:val="16"/>
          <w:szCs w:val="16"/>
        </w:rPr>
        <w:t xml:space="preserve"> Larry P. Tilley, Francis W.K. Smith, Jr., Meg M. Sleeper, &amp; Benjamin M. Brainard © 2021 </w:t>
      </w:r>
      <w:r>
        <w:rPr>
          <w:rFonts w:ascii="Arial" w:eastAsia="Monaco" w:hAnsi="Arial" w:cs="Monaco"/>
          <w:iCs/>
          <w:color w:val="auto"/>
          <w:sz w:val="16"/>
          <w:szCs w:val="16"/>
        </w:rPr>
        <w:t>John Wiley &amp; Sons, Inc.</w:t>
      </w:r>
    </w:p>
    <w:p w14:paraId="2029CFDF" w14:textId="77777777" w:rsidR="00C031BF" w:rsidRDefault="00C031BF" w:rsidP="000E0F69">
      <w:pPr>
        <w:pStyle w:val="Bulletedtext"/>
        <w:numPr>
          <w:ilvl w:val="0"/>
          <w:numId w:val="0"/>
        </w:numPr>
        <w:tabs>
          <w:tab w:val="left" w:pos="720"/>
        </w:tabs>
        <w:rPr>
          <w:rFonts w:ascii="Arial" w:eastAsia="Monaco" w:hAnsi="Arial" w:cs="Monaco"/>
          <w:color w:val="auto"/>
          <w:sz w:val="16"/>
          <w:szCs w:val="16"/>
        </w:rPr>
      </w:pPr>
    </w:p>
    <w:sectPr w:rsidR="00C031B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F733B" w14:textId="77777777" w:rsidR="004713FA" w:rsidRDefault="004713FA" w:rsidP="00361226">
      <w:r>
        <w:separator/>
      </w:r>
    </w:p>
  </w:endnote>
  <w:endnote w:type="continuationSeparator" w:id="0">
    <w:p w14:paraId="65894471" w14:textId="77777777" w:rsidR="004713FA" w:rsidRDefault="004713FA" w:rsidP="0036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MT">
    <w:altName w:val="Yu Gothic"/>
    <w:panose1 w:val="020B0604020202020204"/>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20B0604020202020204"/>
    <w:charset w:val="00"/>
    <w:family w:val="auto"/>
    <w:pitch w:val="variable"/>
    <w:sig w:usb0="E00002FF" w:usb1="5000205A" w:usb2="00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aco">
    <w:altName w:val="﷽﷽﷽﷽﷽﷽﷽"/>
    <w:panose1 w:val="020005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B4570" w14:textId="77777777" w:rsidR="00EA0657" w:rsidRDefault="00EA0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77D4D" w14:textId="77777777" w:rsidR="00EA0657" w:rsidRDefault="00EA0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79738" w14:textId="77777777" w:rsidR="00EA0657" w:rsidRDefault="00EA0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755E" w14:textId="77777777" w:rsidR="004713FA" w:rsidRDefault="004713FA" w:rsidP="00361226">
      <w:r>
        <w:separator/>
      </w:r>
    </w:p>
  </w:footnote>
  <w:footnote w:type="continuationSeparator" w:id="0">
    <w:p w14:paraId="442F8361" w14:textId="77777777" w:rsidR="004713FA" w:rsidRDefault="004713FA" w:rsidP="00361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FEB00" w14:textId="77777777" w:rsidR="00EA0657" w:rsidRDefault="00EA0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945EA" w14:textId="77777777" w:rsidR="00EA0657" w:rsidRDefault="00EA0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7F1DD" w14:textId="77777777" w:rsidR="00EA0657" w:rsidRDefault="00EA0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B4A210"/>
    <w:lvl w:ilvl="0">
      <w:start w:val="1"/>
      <w:numFmt w:val="decimal"/>
      <w:lvlText w:val="%1."/>
      <w:lvlJc w:val="left"/>
      <w:pPr>
        <w:tabs>
          <w:tab w:val="num" w:pos="1800"/>
        </w:tabs>
        <w:ind w:left="1800" w:hanging="360"/>
      </w:pPr>
    </w:lvl>
  </w:abstractNum>
  <w:abstractNum w:abstractNumId="1" w15:restartNumberingAfterBreak="0">
    <w:nsid w:val="00000001"/>
    <w:multiLevelType w:val="multilevel"/>
    <w:tmpl w:val="00000001"/>
    <w:name w:val="List 1"/>
    <w:lvl w:ilvl="0">
      <w:start w:val="1"/>
      <w:numFmt w:val="bullet"/>
      <w:pStyle w:val="Bulletedtext"/>
      <w:lvlText w:val="•"/>
      <w:lvlJc w:val="left"/>
      <w:pPr>
        <w:tabs>
          <w:tab w:val="num" w:pos="590"/>
        </w:tabs>
        <w:ind w:left="590" w:hanging="158"/>
      </w:pPr>
      <w:rPr>
        <w:rFonts w:ascii="Verdana" w:hAnsi="Verdana" w:cs="Verdana"/>
      </w:rPr>
    </w:lvl>
    <w:lvl w:ilvl="1">
      <w:start w:val="1"/>
      <w:numFmt w:val="bullet"/>
      <w:lvlText w:val=""/>
      <w:lvlJc w:val="left"/>
      <w:pPr>
        <w:tabs>
          <w:tab w:val="num" w:pos="454"/>
        </w:tabs>
        <w:ind w:left="454" w:hanging="227"/>
      </w:pPr>
      <w:rPr>
        <w:rFonts w:ascii="Symbol" w:hAnsi="Symbol" w:cs="ArialMT"/>
      </w:rPr>
    </w:lvl>
    <w:lvl w:ilvl="2">
      <w:start w:val="1"/>
      <w:numFmt w:val="bullet"/>
      <w:lvlText w:val=""/>
      <w:lvlJc w:val="left"/>
      <w:pPr>
        <w:tabs>
          <w:tab w:val="num" w:pos="680"/>
        </w:tabs>
        <w:ind w:left="680" w:hanging="227"/>
      </w:pPr>
      <w:rPr>
        <w:rFonts w:ascii="Symbol" w:hAnsi="Symbol" w:cs="ArialMT"/>
      </w:rPr>
    </w:lvl>
    <w:lvl w:ilvl="3">
      <w:start w:val="1"/>
      <w:numFmt w:val="bullet"/>
      <w:lvlText w:val=""/>
      <w:lvlJc w:val="left"/>
      <w:pPr>
        <w:tabs>
          <w:tab w:val="num" w:pos="907"/>
        </w:tabs>
        <w:ind w:left="907" w:hanging="227"/>
      </w:pPr>
      <w:rPr>
        <w:rFonts w:ascii="Symbol" w:hAnsi="Symbol" w:cs="ArialMT"/>
      </w:rPr>
    </w:lvl>
    <w:lvl w:ilvl="4">
      <w:start w:val="1"/>
      <w:numFmt w:val="bullet"/>
      <w:lvlText w:val=""/>
      <w:lvlJc w:val="left"/>
      <w:pPr>
        <w:tabs>
          <w:tab w:val="num" w:pos="1134"/>
        </w:tabs>
        <w:ind w:left="1134" w:hanging="227"/>
      </w:pPr>
      <w:rPr>
        <w:rFonts w:ascii="Symbol" w:hAnsi="Symbol" w:cs="ArialMT"/>
      </w:rPr>
    </w:lvl>
    <w:lvl w:ilvl="5">
      <w:start w:val="1"/>
      <w:numFmt w:val="bullet"/>
      <w:lvlText w:val=""/>
      <w:lvlJc w:val="left"/>
      <w:pPr>
        <w:tabs>
          <w:tab w:val="num" w:pos="1361"/>
        </w:tabs>
        <w:ind w:left="1361" w:hanging="227"/>
      </w:pPr>
      <w:rPr>
        <w:rFonts w:ascii="Symbol" w:hAnsi="Symbol" w:cs="ArialMT"/>
      </w:rPr>
    </w:lvl>
    <w:lvl w:ilvl="6">
      <w:start w:val="1"/>
      <w:numFmt w:val="bullet"/>
      <w:lvlText w:val=""/>
      <w:lvlJc w:val="left"/>
      <w:pPr>
        <w:tabs>
          <w:tab w:val="num" w:pos="1587"/>
        </w:tabs>
        <w:ind w:left="1587" w:hanging="227"/>
      </w:pPr>
      <w:rPr>
        <w:rFonts w:ascii="Symbol" w:hAnsi="Symbol" w:cs="ArialMT"/>
      </w:rPr>
    </w:lvl>
    <w:lvl w:ilvl="7">
      <w:start w:val="1"/>
      <w:numFmt w:val="bullet"/>
      <w:lvlText w:val=""/>
      <w:lvlJc w:val="left"/>
      <w:pPr>
        <w:tabs>
          <w:tab w:val="num" w:pos="1814"/>
        </w:tabs>
        <w:ind w:left="1814" w:hanging="227"/>
      </w:pPr>
      <w:rPr>
        <w:rFonts w:ascii="Symbol" w:hAnsi="Symbol" w:cs="ArialMT"/>
      </w:rPr>
    </w:lvl>
    <w:lvl w:ilvl="8">
      <w:start w:val="1"/>
      <w:numFmt w:val="bullet"/>
      <w:lvlText w:val=""/>
      <w:lvlJc w:val="left"/>
      <w:pPr>
        <w:tabs>
          <w:tab w:val="num" w:pos="2041"/>
        </w:tabs>
        <w:ind w:left="2041" w:hanging="227"/>
      </w:pPr>
      <w:rPr>
        <w:rFonts w:ascii="Symbol" w:hAnsi="Symbol" w:cs="ArialMT"/>
      </w:r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C69712A"/>
    <w:multiLevelType w:val="multilevel"/>
    <w:tmpl w:val="E3E6A9B2"/>
    <w:lvl w:ilvl="0">
      <w:start w:val="1"/>
      <w:numFmt w:val="bullet"/>
      <w:pStyle w:val="lip"/>
      <w:lvlText w:val=""/>
      <w:lvlJc w:val="left"/>
      <w:pPr>
        <w:tabs>
          <w:tab w:val="num" w:pos="120"/>
        </w:tabs>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E4A18DF"/>
    <w:multiLevelType w:val="multilevel"/>
    <w:tmpl w:val="00000001"/>
    <w:lvl w:ilvl="0">
      <w:start w:val="1"/>
      <w:numFmt w:val="bullet"/>
      <w:lvlText w:val="•"/>
      <w:lvlJc w:val="left"/>
      <w:pPr>
        <w:tabs>
          <w:tab w:val="num" w:pos="590"/>
        </w:tabs>
        <w:ind w:left="590" w:hanging="158"/>
      </w:pPr>
      <w:rPr>
        <w:rFonts w:ascii="Verdana" w:hAnsi="Verdana" w:cs="Verdana"/>
      </w:rPr>
    </w:lvl>
    <w:lvl w:ilvl="1">
      <w:start w:val="1"/>
      <w:numFmt w:val="bullet"/>
      <w:lvlText w:val=""/>
      <w:lvlJc w:val="left"/>
      <w:pPr>
        <w:tabs>
          <w:tab w:val="num" w:pos="454"/>
        </w:tabs>
        <w:ind w:left="454" w:hanging="227"/>
      </w:pPr>
      <w:rPr>
        <w:rFonts w:ascii="Symbol" w:hAnsi="Symbol" w:cs="ArialMT"/>
      </w:rPr>
    </w:lvl>
    <w:lvl w:ilvl="2">
      <w:start w:val="1"/>
      <w:numFmt w:val="bullet"/>
      <w:lvlText w:val=""/>
      <w:lvlJc w:val="left"/>
      <w:pPr>
        <w:tabs>
          <w:tab w:val="num" w:pos="680"/>
        </w:tabs>
        <w:ind w:left="680" w:hanging="227"/>
      </w:pPr>
      <w:rPr>
        <w:rFonts w:ascii="Symbol" w:hAnsi="Symbol" w:cs="ArialMT"/>
      </w:rPr>
    </w:lvl>
    <w:lvl w:ilvl="3">
      <w:start w:val="1"/>
      <w:numFmt w:val="bullet"/>
      <w:lvlText w:val=""/>
      <w:lvlJc w:val="left"/>
      <w:pPr>
        <w:tabs>
          <w:tab w:val="num" w:pos="907"/>
        </w:tabs>
        <w:ind w:left="907" w:hanging="227"/>
      </w:pPr>
      <w:rPr>
        <w:rFonts w:ascii="Symbol" w:hAnsi="Symbol" w:cs="ArialMT"/>
      </w:rPr>
    </w:lvl>
    <w:lvl w:ilvl="4">
      <w:start w:val="1"/>
      <w:numFmt w:val="bullet"/>
      <w:lvlText w:val=""/>
      <w:lvlJc w:val="left"/>
      <w:pPr>
        <w:tabs>
          <w:tab w:val="num" w:pos="1134"/>
        </w:tabs>
        <w:ind w:left="1134" w:hanging="227"/>
      </w:pPr>
      <w:rPr>
        <w:rFonts w:ascii="Symbol" w:hAnsi="Symbol" w:cs="ArialMT"/>
      </w:rPr>
    </w:lvl>
    <w:lvl w:ilvl="5">
      <w:start w:val="1"/>
      <w:numFmt w:val="bullet"/>
      <w:lvlText w:val=""/>
      <w:lvlJc w:val="left"/>
      <w:pPr>
        <w:tabs>
          <w:tab w:val="num" w:pos="1361"/>
        </w:tabs>
        <w:ind w:left="1361" w:hanging="227"/>
      </w:pPr>
      <w:rPr>
        <w:rFonts w:ascii="Symbol" w:hAnsi="Symbol" w:cs="ArialMT"/>
      </w:rPr>
    </w:lvl>
    <w:lvl w:ilvl="6">
      <w:start w:val="1"/>
      <w:numFmt w:val="bullet"/>
      <w:lvlText w:val=""/>
      <w:lvlJc w:val="left"/>
      <w:pPr>
        <w:tabs>
          <w:tab w:val="num" w:pos="1587"/>
        </w:tabs>
        <w:ind w:left="1587" w:hanging="227"/>
      </w:pPr>
      <w:rPr>
        <w:rFonts w:ascii="Symbol" w:hAnsi="Symbol" w:cs="ArialMT"/>
      </w:rPr>
    </w:lvl>
    <w:lvl w:ilvl="7">
      <w:start w:val="1"/>
      <w:numFmt w:val="bullet"/>
      <w:lvlText w:val=""/>
      <w:lvlJc w:val="left"/>
      <w:pPr>
        <w:tabs>
          <w:tab w:val="num" w:pos="1814"/>
        </w:tabs>
        <w:ind w:left="1814" w:hanging="227"/>
      </w:pPr>
      <w:rPr>
        <w:rFonts w:ascii="Symbol" w:hAnsi="Symbol" w:cs="ArialMT"/>
      </w:rPr>
    </w:lvl>
    <w:lvl w:ilvl="8">
      <w:start w:val="1"/>
      <w:numFmt w:val="bullet"/>
      <w:lvlText w:val=""/>
      <w:lvlJc w:val="left"/>
      <w:pPr>
        <w:tabs>
          <w:tab w:val="num" w:pos="2041"/>
        </w:tabs>
        <w:ind w:left="2041" w:hanging="227"/>
      </w:pPr>
      <w:rPr>
        <w:rFonts w:ascii="Symbol" w:hAnsi="Symbol" w:cs="ArialMT"/>
      </w:rPr>
    </w:lvl>
  </w:abstractNum>
  <w:num w:numId="1">
    <w:abstractNumId w:val="1"/>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3"/>
  </w:num>
  <w:num w:numId="32">
    <w:abstractNumId w:val="0"/>
  </w:num>
  <w:num w:numId="33">
    <w:abstractNumId w:val="4"/>
  </w:num>
  <w:num w:numId="3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65"/>
    <w:rsid w:val="00044C97"/>
    <w:rsid w:val="00051569"/>
    <w:rsid w:val="000801AE"/>
    <w:rsid w:val="000C05E6"/>
    <w:rsid w:val="000E0F69"/>
    <w:rsid w:val="000E1E65"/>
    <w:rsid w:val="000F5BCA"/>
    <w:rsid w:val="00114523"/>
    <w:rsid w:val="001220EB"/>
    <w:rsid w:val="00216F8D"/>
    <w:rsid w:val="002264C2"/>
    <w:rsid w:val="002556B4"/>
    <w:rsid w:val="0027156D"/>
    <w:rsid w:val="00271773"/>
    <w:rsid w:val="002E492F"/>
    <w:rsid w:val="002E6007"/>
    <w:rsid w:val="00361226"/>
    <w:rsid w:val="003B7D72"/>
    <w:rsid w:val="003E5B97"/>
    <w:rsid w:val="00400071"/>
    <w:rsid w:val="00402AEF"/>
    <w:rsid w:val="004327C8"/>
    <w:rsid w:val="00452F86"/>
    <w:rsid w:val="004713FA"/>
    <w:rsid w:val="004727D8"/>
    <w:rsid w:val="004908DF"/>
    <w:rsid w:val="004974DB"/>
    <w:rsid w:val="004C4346"/>
    <w:rsid w:val="00570C5E"/>
    <w:rsid w:val="005B5FF9"/>
    <w:rsid w:val="00607DD8"/>
    <w:rsid w:val="00611BDB"/>
    <w:rsid w:val="00632FCA"/>
    <w:rsid w:val="00646B7D"/>
    <w:rsid w:val="00652942"/>
    <w:rsid w:val="0065330B"/>
    <w:rsid w:val="006740D2"/>
    <w:rsid w:val="006F110D"/>
    <w:rsid w:val="006F724E"/>
    <w:rsid w:val="007615BD"/>
    <w:rsid w:val="008C7D27"/>
    <w:rsid w:val="008D6E43"/>
    <w:rsid w:val="008F0082"/>
    <w:rsid w:val="008F0FD7"/>
    <w:rsid w:val="00952B8A"/>
    <w:rsid w:val="00954A90"/>
    <w:rsid w:val="00981788"/>
    <w:rsid w:val="00991E0B"/>
    <w:rsid w:val="00994F81"/>
    <w:rsid w:val="00A0621D"/>
    <w:rsid w:val="00A50191"/>
    <w:rsid w:val="00A66225"/>
    <w:rsid w:val="00A85EAA"/>
    <w:rsid w:val="00A938DD"/>
    <w:rsid w:val="00AC73AE"/>
    <w:rsid w:val="00AD2020"/>
    <w:rsid w:val="00B37DD7"/>
    <w:rsid w:val="00B72808"/>
    <w:rsid w:val="00B779C0"/>
    <w:rsid w:val="00BC2CDE"/>
    <w:rsid w:val="00BC64D4"/>
    <w:rsid w:val="00C031BF"/>
    <w:rsid w:val="00C4023F"/>
    <w:rsid w:val="00C61702"/>
    <w:rsid w:val="00CB6B81"/>
    <w:rsid w:val="00CC377A"/>
    <w:rsid w:val="00D47EAF"/>
    <w:rsid w:val="00D816EA"/>
    <w:rsid w:val="00DD3973"/>
    <w:rsid w:val="00DD54ED"/>
    <w:rsid w:val="00DE0C95"/>
    <w:rsid w:val="00DF4593"/>
    <w:rsid w:val="00E35BC8"/>
    <w:rsid w:val="00E41721"/>
    <w:rsid w:val="00E71243"/>
    <w:rsid w:val="00E86BDB"/>
    <w:rsid w:val="00EA0657"/>
    <w:rsid w:val="00F17C78"/>
    <w:rsid w:val="00F50451"/>
    <w:rsid w:val="00F544C0"/>
    <w:rsid w:val="00F567EA"/>
    <w:rsid w:val="00FE0C6D"/>
    <w:rsid w:val="00FE4B4B"/>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43FA2A"/>
  <w15:chartTrackingRefBased/>
  <w15:docId w15:val="{6A60B776-654B-E84E-A42F-22604567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suppressAutoHyphens/>
    </w:pPr>
    <w:rPr>
      <w:kern w:val="1"/>
      <w:sz w:val="24"/>
      <w:szCs w:val="24"/>
      <w:lang w:val="en-US" w:eastAsia="hi-IN" w:bidi="hi-IN"/>
    </w:rPr>
  </w:style>
  <w:style w:type="character" w:customStyle="1" w:styleId="Absatz-Standardschriftart">
    <w:name w:val="Absatz-Standardschriftart"/>
  </w:style>
  <w:style w:type="character" w:customStyle="1" w:styleId="Bullets">
    <w:name w:val="Bullets"/>
    <w:rPr>
      <w:rFonts w:ascii="OpenSymbol" w:eastAsia="Times New Roman" w:hAnsi="OpenSymbol" w:cs="OpenSymbol"/>
    </w:rPr>
  </w:style>
  <w:style w:type="character" w:customStyle="1" w:styleId="NumberingSymbols">
    <w:name w:val="Numbering Symbols"/>
  </w:style>
  <w:style w:type="paragraph" w:customStyle="1" w:styleId="Heading">
    <w:name w:val="Heading"/>
    <w:basedOn w:val="Default"/>
    <w:next w:val="Textbody"/>
    <w:pPr>
      <w:keepNext/>
      <w:spacing w:before="240" w:after="120"/>
    </w:pPr>
    <w:rPr>
      <w:rFonts w:ascii="Arial" w:hAnsi="Arial" w:cs="Arial"/>
      <w:sz w:val="28"/>
      <w:szCs w:val="28"/>
    </w:rPr>
  </w:style>
  <w:style w:type="paragraph" w:customStyle="1" w:styleId="Textbody">
    <w:name w:val="Text body"/>
    <w:basedOn w:val="Default"/>
    <w:pPr>
      <w:spacing w:after="120"/>
    </w:pPr>
  </w:style>
  <w:style w:type="paragraph" w:styleId="List">
    <w:name w:val="List"/>
    <w:basedOn w:val="Textbody"/>
  </w:style>
  <w:style w:type="paragraph" w:styleId="Caption">
    <w:name w:val="caption"/>
    <w:basedOn w:val="Default"/>
    <w:qFormat/>
    <w:pPr>
      <w:suppressLineNumbers/>
      <w:spacing w:before="120" w:after="120"/>
    </w:pPr>
    <w:rPr>
      <w:i/>
      <w:iCs/>
    </w:rPr>
  </w:style>
  <w:style w:type="paragraph" w:customStyle="1" w:styleId="Index">
    <w:name w:val="Index"/>
    <w:basedOn w:val="Default"/>
    <w:pPr>
      <w:suppressLineNumbers/>
    </w:pPr>
  </w:style>
  <w:style w:type="paragraph" w:customStyle="1" w:styleId="NoParagraphStyle">
    <w:name w:val="[No Paragraph Style]"/>
    <w:pPr>
      <w:widowControl w:val="0"/>
      <w:suppressAutoHyphens/>
      <w:autoSpaceDE w:val="0"/>
      <w:spacing w:line="288" w:lineRule="auto"/>
      <w:textAlignment w:val="center"/>
    </w:pPr>
    <w:rPr>
      <w:rFonts w:ascii="Times-Roman" w:eastAsia="Times-Roman" w:hAnsi="Times-Roman" w:cs="Times-Roman"/>
      <w:color w:val="000000"/>
      <w:kern w:val="1"/>
      <w:sz w:val="24"/>
      <w:szCs w:val="24"/>
      <w:lang w:val="en-US" w:eastAsia="hi-IN" w:bidi="hi-IN"/>
    </w:rPr>
  </w:style>
  <w:style w:type="paragraph" w:customStyle="1" w:styleId="BasicParagraph">
    <w:name w:val="[Basic Paragraph]"/>
    <w:basedOn w:val="NoParagraphStyle"/>
  </w:style>
  <w:style w:type="paragraph" w:customStyle="1" w:styleId="MainTitle">
    <w:name w:val="Main Title"/>
    <w:basedOn w:val="NoParagraphStyle"/>
    <w:rsid w:val="00325353"/>
    <w:pPr>
      <w:spacing w:before="72" w:line="235" w:lineRule="auto"/>
      <w:ind w:left="360"/>
    </w:pPr>
    <w:rPr>
      <w:rFonts w:ascii="Georgia" w:hAnsi="Georgia" w:cs="Georgia"/>
      <w:color w:val="7E0021"/>
      <w:sz w:val="112"/>
      <w:szCs w:val="112"/>
    </w:rPr>
  </w:style>
  <w:style w:type="paragraph" w:customStyle="1" w:styleId="Introduction">
    <w:name w:val="Introduction"/>
    <w:basedOn w:val="NoParagraphStyle"/>
    <w:pPr>
      <w:spacing w:line="336" w:lineRule="auto"/>
      <w:ind w:left="360" w:right="288"/>
    </w:pPr>
    <w:rPr>
      <w:rFonts w:ascii="Georgia" w:hAnsi="Georgia" w:cs="Georgia"/>
      <w:sz w:val="25"/>
      <w:szCs w:val="25"/>
    </w:rPr>
  </w:style>
  <w:style w:type="paragraph" w:customStyle="1" w:styleId="MainHeading">
    <w:name w:val="Main Heading"/>
    <w:basedOn w:val="NoParagraphStyle"/>
    <w:pPr>
      <w:spacing w:before="58" w:line="204" w:lineRule="auto"/>
      <w:ind w:left="360" w:right="288"/>
    </w:pPr>
    <w:rPr>
      <w:rFonts w:ascii="Arial Black" w:hAnsi="Arial Black" w:cs="Arial Black"/>
      <w:color w:val="7E0021"/>
      <w:sz w:val="36"/>
      <w:szCs w:val="36"/>
    </w:rPr>
  </w:style>
  <w:style w:type="paragraph" w:customStyle="1" w:styleId="Subhead">
    <w:name w:val="Subhead"/>
    <w:basedOn w:val="NoParagraphStyle"/>
    <w:pPr>
      <w:spacing w:before="86"/>
      <w:ind w:left="360" w:right="288"/>
    </w:pPr>
    <w:rPr>
      <w:rFonts w:ascii="Georgia" w:hAnsi="Georgia" w:cs="Georgia"/>
      <w:b/>
      <w:bCs/>
      <w:caps/>
      <w:color w:val="004586"/>
      <w:sz w:val="25"/>
      <w:szCs w:val="25"/>
    </w:rPr>
  </w:style>
  <w:style w:type="paragraph" w:customStyle="1" w:styleId="Bulletedtext">
    <w:name w:val="Bulleted text"/>
    <w:basedOn w:val="NoParagraphStyle"/>
    <w:pPr>
      <w:numPr>
        <w:numId w:val="1"/>
      </w:numPr>
      <w:ind w:right="288"/>
    </w:pPr>
    <w:rPr>
      <w:rFonts w:ascii="Georgia" w:hAnsi="Georgia" w:cs="Georgia"/>
      <w:sz w:val="20"/>
      <w:szCs w:val="20"/>
    </w:rPr>
  </w:style>
  <w:style w:type="paragraph" w:customStyle="1" w:styleId="Subhead2">
    <w:name w:val="Subhead 2"/>
    <w:basedOn w:val="NoParagraphStyle"/>
    <w:pPr>
      <w:ind w:left="360" w:right="288"/>
    </w:pPr>
    <w:rPr>
      <w:rFonts w:ascii="Georgia" w:hAnsi="Georgia" w:cs="Georgia"/>
      <w:b/>
      <w:bCs/>
      <w:sz w:val="20"/>
      <w:szCs w:val="20"/>
    </w:rPr>
  </w:style>
  <w:style w:type="paragraph" w:customStyle="1" w:styleId="Contactinfo">
    <w:name w:val="Contact info"/>
    <w:basedOn w:val="BasicParagraph"/>
    <w:pPr>
      <w:spacing w:line="319" w:lineRule="auto"/>
    </w:pPr>
    <w:rPr>
      <w:rFonts w:ascii="Arial" w:hAnsi="Arial" w:cs="Arial"/>
      <w:sz w:val="18"/>
      <w:szCs w:val="18"/>
    </w:rPr>
  </w:style>
  <w:style w:type="paragraph" w:customStyle="1" w:styleId="TableContents">
    <w:name w:val="Table Contents"/>
    <w:basedOn w:val="Default"/>
    <w:pPr>
      <w:suppressLineNumbers/>
    </w:pPr>
  </w:style>
  <w:style w:type="paragraph" w:customStyle="1" w:styleId="Indenting">
    <w:name w:val="Indenting"/>
    <w:basedOn w:val="Default"/>
    <w:pPr>
      <w:ind w:left="364"/>
    </w:pPr>
  </w:style>
  <w:style w:type="paragraph" w:customStyle="1" w:styleId="List1">
    <w:name w:val="List 1"/>
    <w:basedOn w:val="List"/>
    <w:pPr>
      <w:ind w:left="360" w:hanging="360"/>
    </w:pPr>
  </w:style>
  <w:style w:type="paragraph" w:customStyle="1" w:styleId="Notes">
    <w:name w:val="Notes"/>
    <w:basedOn w:val="TableContents"/>
    <w:pPr>
      <w:ind w:left="58"/>
    </w:pPr>
    <w:rPr>
      <w:rFonts w:ascii="Georgia" w:eastAsia="Times-Roman" w:hAnsi="Georgia" w:cs="Georgia"/>
      <w:sz w:val="20"/>
      <w:szCs w:val="20"/>
    </w:rPr>
  </w:style>
  <w:style w:type="paragraph" w:styleId="Header">
    <w:name w:val="header"/>
    <w:basedOn w:val="Normal"/>
    <w:link w:val="HeaderChar"/>
    <w:rsid w:val="00C47272"/>
    <w:pPr>
      <w:tabs>
        <w:tab w:val="center" w:pos="4680"/>
        <w:tab w:val="right" w:pos="9360"/>
      </w:tabs>
    </w:pPr>
  </w:style>
  <w:style w:type="character" w:customStyle="1" w:styleId="HeaderChar">
    <w:name w:val="Header Char"/>
    <w:link w:val="Header"/>
    <w:rsid w:val="00C47272"/>
    <w:rPr>
      <w:sz w:val="24"/>
      <w:szCs w:val="24"/>
      <w:lang w:eastAsia="en-US" w:bidi="ar-SA"/>
    </w:rPr>
  </w:style>
  <w:style w:type="paragraph" w:styleId="Footer">
    <w:name w:val="footer"/>
    <w:basedOn w:val="Normal"/>
    <w:link w:val="FooterChar"/>
    <w:rsid w:val="00C47272"/>
    <w:pPr>
      <w:tabs>
        <w:tab w:val="center" w:pos="4680"/>
        <w:tab w:val="right" w:pos="9360"/>
      </w:tabs>
    </w:pPr>
  </w:style>
  <w:style w:type="character" w:customStyle="1" w:styleId="FooterChar">
    <w:name w:val="Footer Char"/>
    <w:link w:val="Footer"/>
    <w:rsid w:val="00C47272"/>
    <w:rPr>
      <w:sz w:val="24"/>
      <w:szCs w:val="24"/>
      <w:lang w:eastAsia="en-US" w:bidi="ar-SA"/>
    </w:rPr>
  </w:style>
  <w:style w:type="paragraph" w:customStyle="1" w:styleId="StyleBulletedtextHanging41mm">
    <w:name w:val="Style Bulleted text + Hanging:  4.1 mm"/>
    <w:basedOn w:val="Bulletedtext"/>
    <w:rsid w:val="008F0082"/>
    <w:pPr>
      <w:numPr>
        <w:numId w:val="0"/>
      </w:numPr>
      <w:tabs>
        <w:tab w:val="num" w:pos="590"/>
      </w:tabs>
      <w:ind w:left="590" w:hanging="230"/>
    </w:pPr>
    <w:rPr>
      <w:rFonts w:eastAsia="Times New Roman"/>
    </w:rPr>
  </w:style>
  <w:style w:type="paragraph" w:customStyle="1" w:styleId="lip">
    <w:name w:val="li_p"/>
    <w:basedOn w:val="Normal"/>
    <w:rsid w:val="006740D2"/>
    <w:pPr>
      <w:numPr>
        <w:numId w:val="31"/>
      </w:numPr>
      <w:spacing w:line="200" w:lineRule="exact"/>
    </w:pPr>
    <w:rPr>
      <w:sz w:val="17"/>
      <w:szCs w:val="17"/>
    </w:rPr>
  </w:style>
  <w:style w:type="paragraph" w:styleId="BalloonText">
    <w:name w:val="Balloon Text"/>
    <w:basedOn w:val="Normal"/>
    <w:semiHidden/>
    <w:rsid w:val="00607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2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Aptara Corp</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cp:lastModifiedBy>Sally Osborn</cp:lastModifiedBy>
  <cp:revision>4</cp:revision>
  <cp:lastPrinted>2010-11-30T13:34:00Z</cp:lastPrinted>
  <dcterms:created xsi:type="dcterms:W3CDTF">2020-12-05T18:24:00Z</dcterms:created>
  <dcterms:modified xsi:type="dcterms:W3CDTF">2020-12-06T13:05:00Z</dcterms:modified>
</cp:coreProperties>
</file>